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64" w:rsidRPr="001172CC" w:rsidRDefault="00295218" w:rsidP="00295218">
      <w:pPr>
        <w:spacing w:after="240"/>
        <w:ind w:left="-270"/>
        <w:rPr>
          <w:color w:val="1F497D" w:themeColor="text2"/>
          <w:sz w:val="22"/>
          <w:szCs w:val="22"/>
        </w:rPr>
      </w:pPr>
      <w:bookmarkStart w:id="0" w:name="_GoBack"/>
      <w:bookmarkEnd w:id="0"/>
      <w:r w:rsidRPr="001172CC">
        <w:rPr>
          <w:b/>
          <w:color w:val="365F91" w:themeColor="accent1" w:themeShade="BF"/>
          <w:sz w:val="22"/>
          <w:szCs w:val="22"/>
        </w:rPr>
        <w:t>Introduction</w:t>
      </w:r>
      <w:r w:rsidRPr="001172CC">
        <w:rPr>
          <w:sz w:val="22"/>
          <w:szCs w:val="22"/>
        </w:rPr>
        <w:t xml:space="preserve">:  </w:t>
      </w:r>
      <w:r w:rsidR="00F0623A" w:rsidRPr="001172CC">
        <w:rPr>
          <w:sz w:val="22"/>
          <w:szCs w:val="22"/>
        </w:rPr>
        <w:t xml:space="preserve">Experience has offered some basic lessons to help start or improve a </w:t>
      </w:r>
      <w:r w:rsidR="00EB06E0" w:rsidRPr="001172CC">
        <w:rPr>
          <w:sz w:val="22"/>
          <w:szCs w:val="22"/>
        </w:rPr>
        <w:t>t</w:t>
      </w:r>
      <w:r w:rsidR="00F0623A" w:rsidRPr="001172CC">
        <w:rPr>
          <w:sz w:val="22"/>
          <w:szCs w:val="22"/>
        </w:rPr>
        <w:t>ransition process for youth transitioning to adult care.</w:t>
      </w:r>
      <w:r w:rsidR="00EB06E0" w:rsidRPr="001172CC">
        <w:rPr>
          <w:sz w:val="22"/>
          <w:szCs w:val="22"/>
        </w:rPr>
        <w:t xml:space="preserve"> </w:t>
      </w:r>
      <w:r w:rsidR="00B9201D" w:rsidRPr="001172CC">
        <w:rPr>
          <w:sz w:val="22"/>
          <w:szCs w:val="22"/>
        </w:rPr>
        <w:t xml:space="preserve">Below </w:t>
      </w:r>
      <w:r w:rsidR="004C72BB" w:rsidRPr="001172CC">
        <w:rPr>
          <w:sz w:val="22"/>
          <w:szCs w:val="22"/>
        </w:rPr>
        <w:t>are suggested</w:t>
      </w:r>
      <w:r w:rsidR="00AF41A0" w:rsidRPr="001172CC">
        <w:rPr>
          <w:sz w:val="22"/>
          <w:szCs w:val="22"/>
        </w:rPr>
        <w:t xml:space="preserve"> </w:t>
      </w:r>
      <w:r w:rsidR="00BF09EE" w:rsidRPr="001172CC">
        <w:rPr>
          <w:b/>
          <w:sz w:val="22"/>
          <w:szCs w:val="22"/>
        </w:rPr>
        <w:t>initial</w:t>
      </w:r>
      <w:r w:rsidR="00BF09EE" w:rsidRPr="001172CC">
        <w:rPr>
          <w:sz w:val="22"/>
          <w:szCs w:val="22"/>
        </w:rPr>
        <w:t xml:space="preserve"> </w:t>
      </w:r>
      <w:r w:rsidR="00F67D4C" w:rsidRPr="001172CC">
        <w:rPr>
          <w:sz w:val="22"/>
          <w:szCs w:val="22"/>
        </w:rPr>
        <w:t>steps</w:t>
      </w:r>
      <w:r w:rsidR="00EB06E0" w:rsidRPr="001172CC">
        <w:rPr>
          <w:sz w:val="22"/>
          <w:szCs w:val="22"/>
        </w:rPr>
        <w:t xml:space="preserve"> that</w:t>
      </w:r>
      <w:r w:rsidR="00F0623A" w:rsidRPr="001172CC">
        <w:rPr>
          <w:sz w:val="22"/>
          <w:szCs w:val="22"/>
        </w:rPr>
        <w:t xml:space="preserve"> are </w:t>
      </w:r>
      <w:r w:rsidR="00EB06E0" w:rsidRPr="001172CC">
        <w:rPr>
          <w:sz w:val="22"/>
          <w:szCs w:val="22"/>
        </w:rPr>
        <w:t>applicable</w:t>
      </w:r>
      <w:r w:rsidR="00F0623A" w:rsidRPr="001172CC">
        <w:rPr>
          <w:sz w:val="22"/>
          <w:szCs w:val="22"/>
        </w:rPr>
        <w:t xml:space="preserve"> whether youth are </w:t>
      </w:r>
      <w:r w:rsidR="00F67D4C" w:rsidRPr="001172CC">
        <w:rPr>
          <w:sz w:val="22"/>
          <w:szCs w:val="22"/>
        </w:rPr>
        <w:t>moving from</w:t>
      </w:r>
      <w:r w:rsidR="00BF09EE" w:rsidRPr="001172CC">
        <w:rPr>
          <w:sz w:val="22"/>
          <w:szCs w:val="22"/>
        </w:rPr>
        <w:t xml:space="preserve"> </w:t>
      </w:r>
      <w:r w:rsidR="00F0623A" w:rsidRPr="001172CC">
        <w:rPr>
          <w:sz w:val="22"/>
          <w:szCs w:val="22"/>
        </w:rPr>
        <w:t xml:space="preserve">a </w:t>
      </w:r>
      <w:r w:rsidR="00BF09EE" w:rsidRPr="001172CC">
        <w:rPr>
          <w:sz w:val="22"/>
          <w:szCs w:val="22"/>
        </w:rPr>
        <w:t>pediatric practice</w:t>
      </w:r>
      <w:r w:rsidR="00F0623A" w:rsidRPr="001172CC">
        <w:rPr>
          <w:sz w:val="22"/>
          <w:szCs w:val="22"/>
        </w:rPr>
        <w:t xml:space="preserve"> </w:t>
      </w:r>
      <w:r w:rsidR="00F67D4C" w:rsidRPr="001172CC">
        <w:rPr>
          <w:sz w:val="22"/>
          <w:szCs w:val="22"/>
        </w:rPr>
        <w:t>and/</w:t>
      </w:r>
      <w:r w:rsidR="00F0623A" w:rsidRPr="001172CC">
        <w:rPr>
          <w:sz w:val="22"/>
          <w:szCs w:val="22"/>
        </w:rPr>
        <w:t xml:space="preserve">or </w:t>
      </w:r>
      <w:r w:rsidR="00BF09EE" w:rsidRPr="001172CC">
        <w:rPr>
          <w:sz w:val="22"/>
          <w:szCs w:val="22"/>
        </w:rPr>
        <w:t xml:space="preserve">pediatric approach </w:t>
      </w:r>
      <w:r w:rsidR="00EF5049" w:rsidRPr="001172CC">
        <w:rPr>
          <w:sz w:val="22"/>
          <w:szCs w:val="22"/>
        </w:rPr>
        <w:t>to care</w:t>
      </w:r>
      <w:r w:rsidR="00F0623A" w:rsidRPr="001172CC">
        <w:rPr>
          <w:sz w:val="22"/>
          <w:szCs w:val="22"/>
        </w:rPr>
        <w:t xml:space="preserve"> to </w:t>
      </w:r>
      <w:r w:rsidR="00BF09EE" w:rsidRPr="001172CC">
        <w:rPr>
          <w:sz w:val="22"/>
          <w:szCs w:val="22"/>
        </w:rPr>
        <w:t>an adult practice</w:t>
      </w:r>
      <w:r w:rsidR="00F67D4C" w:rsidRPr="001172CC">
        <w:rPr>
          <w:sz w:val="22"/>
          <w:szCs w:val="22"/>
        </w:rPr>
        <w:t xml:space="preserve"> and/or </w:t>
      </w:r>
      <w:r w:rsidR="00BF09EE" w:rsidRPr="001172CC">
        <w:rPr>
          <w:sz w:val="22"/>
          <w:szCs w:val="22"/>
        </w:rPr>
        <w:t>adult approach to care</w:t>
      </w:r>
      <w:r w:rsidR="006C7350" w:rsidRPr="001172CC">
        <w:rPr>
          <w:sz w:val="22"/>
          <w:szCs w:val="22"/>
        </w:rPr>
        <w:t>.</w:t>
      </w:r>
      <w:r w:rsidR="00F0623A" w:rsidRPr="001172CC">
        <w:rPr>
          <w:sz w:val="22"/>
          <w:szCs w:val="22"/>
        </w:rPr>
        <w:t xml:space="preserve"> These </w:t>
      </w:r>
      <w:r w:rsidR="00EB06E0" w:rsidRPr="001172CC">
        <w:rPr>
          <w:sz w:val="22"/>
          <w:szCs w:val="22"/>
        </w:rPr>
        <w:t>are intended for use in</w:t>
      </w:r>
      <w:r w:rsidR="00AC2070" w:rsidRPr="001172CC">
        <w:rPr>
          <w:sz w:val="22"/>
          <w:szCs w:val="22"/>
        </w:rPr>
        <w:t xml:space="preserve"> pediatric, family medicine, med-</w:t>
      </w:r>
      <w:proofErr w:type="spellStart"/>
      <w:r w:rsidR="00AC2070" w:rsidRPr="001172CC">
        <w:rPr>
          <w:sz w:val="22"/>
          <w:szCs w:val="22"/>
        </w:rPr>
        <w:t>peds</w:t>
      </w:r>
      <w:proofErr w:type="spellEnd"/>
      <w:r w:rsidR="00AC2070" w:rsidRPr="001172CC">
        <w:rPr>
          <w:sz w:val="22"/>
          <w:szCs w:val="22"/>
        </w:rPr>
        <w:t>, and internal medicine practices</w:t>
      </w:r>
      <w:r w:rsidR="000068A8" w:rsidRPr="001172CC">
        <w:rPr>
          <w:sz w:val="22"/>
          <w:szCs w:val="22"/>
        </w:rPr>
        <w:t xml:space="preserve"> (</w:t>
      </w:r>
      <w:r w:rsidR="00BF09EE" w:rsidRPr="001172CC">
        <w:rPr>
          <w:sz w:val="22"/>
          <w:szCs w:val="22"/>
        </w:rPr>
        <w:t xml:space="preserve">both </w:t>
      </w:r>
      <w:r w:rsidR="00AF41A0" w:rsidRPr="001172CC">
        <w:rPr>
          <w:sz w:val="22"/>
          <w:szCs w:val="22"/>
        </w:rPr>
        <w:t>primary care and specialty practices</w:t>
      </w:r>
      <w:r w:rsidR="000068A8" w:rsidRPr="001172CC">
        <w:rPr>
          <w:sz w:val="22"/>
          <w:szCs w:val="22"/>
        </w:rPr>
        <w:t>)</w:t>
      </w:r>
      <w:r w:rsidR="00BF09EE" w:rsidRPr="001172CC">
        <w:rPr>
          <w:sz w:val="22"/>
          <w:szCs w:val="22"/>
        </w:rPr>
        <w:t xml:space="preserve">, and health </w:t>
      </w:r>
      <w:r w:rsidR="00B9201D" w:rsidRPr="001172CC">
        <w:rPr>
          <w:sz w:val="22"/>
          <w:szCs w:val="22"/>
        </w:rPr>
        <w:t>systems</w:t>
      </w:r>
      <w:r w:rsidR="00EB06E0" w:rsidRPr="001172CC">
        <w:rPr>
          <w:sz w:val="22"/>
          <w:szCs w:val="22"/>
        </w:rPr>
        <w:t>.</w:t>
      </w:r>
      <w:r w:rsidR="006C7350" w:rsidRPr="001172CC">
        <w:rPr>
          <w:sz w:val="22"/>
          <w:szCs w:val="22"/>
        </w:rPr>
        <w:t xml:space="preserve"> </w:t>
      </w:r>
      <w:r w:rsidR="00BF09EE" w:rsidRPr="001172CC">
        <w:rPr>
          <w:sz w:val="22"/>
          <w:szCs w:val="22"/>
        </w:rPr>
        <w:t>The four</w:t>
      </w:r>
      <w:r w:rsidR="00B9201D" w:rsidRPr="001172CC">
        <w:rPr>
          <w:sz w:val="22"/>
          <w:szCs w:val="22"/>
        </w:rPr>
        <w:t xml:space="preserve"> </w:t>
      </w:r>
      <w:r w:rsidR="00BD1468" w:rsidRPr="001172CC">
        <w:rPr>
          <w:sz w:val="22"/>
          <w:szCs w:val="22"/>
        </w:rPr>
        <w:t>steps are interrelated</w:t>
      </w:r>
      <w:r w:rsidR="00EB06E0" w:rsidRPr="001172CC">
        <w:rPr>
          <w:sz w:val="22"/>
          <w:szCs w:val="22"/>
        </w:rPr>
        <w:t>,</w:t>
      </w:r>
      <w:r w:rsidR="004C72BB" w:rsidRPr="001172CC">
        <w:rPr>
          <w:sz w:val="22"/>
          <w:szCs w:val="22"/>
        </w:rPr>
        <w:t xml:space="preserve"> </w:t>
      </w:r>
      <w:r w:rsidR="00B9201D" w:rsidRPr="001172CC">
        <w:rPr>
          <w:sz w:val="22"/>
          <w:szCs w:val="22"/>
        </w:rPr>
        <w:t>and t</w:t>
      </w:r>
      <w:r w:rsidR="00BF09EE" w:rsidRPr="001172CC">
        <w:rPr>
          <w:sz w:val="22"/>
          <w:szCs w:val="22"/>
        </w:rPr>
        <w:t xml:space="preserve">he tips for success </w:t>
      </w:r>
      <w:r w:rsidR="00356609" w:rsidRPr="001172CC">
        <w:rPr>
          <w:sz w:val="22"/>
          <w:szCs w:val="22"/>
        </w:rPr>
        <w:t>have been learned from transition</w:t>
      </w:r>
      <w:r w:rsidR="00BD1468" w:rsidRPr="001172CC">
        <w:rPr>
          <w:sz w:val="22"/>
          <w:szCs w:val="22"/>
        </w:rPr>
        <w:t xml:space="preserve"> improvement projects across the U</w:t>
      </w:r>
      <w:r w:rsidR="006C7350" w:rsidRPr="001172CC">
        <w:rPr>
          <w:sz w:val="22"/>
          <w:szCs w:val="22"/>
        </w:rPr>
        <w:t xml:space="preserve">nited </w:t>
      </w:r>
      <w:r w:rsidR="00BD1468" w:rsidRPr="001172CC">
        <w:rPr>
          <w:sz w:val="22"/>
          <w:szCs w:val="22"/>
        </w:rPr>
        <w:t>S</w:t>
      </w:r>
      <w:r w:rsidR="006C7350" w:rsidRPr="001172CC">
        <w:rPr>
          <w:sz w:val="22"/>
          <w:szCs w:val="22"/>
        </w:rPr>
        <w:t>tates</w:t>
      </w:r>
      <w:r w:rsidR="00B9201D" w:rsidRPr="001172CC">
        <w:rPr>
          <w:sz w:val="22"/>
          <w:szCs w:val="22"/>
        </w:rPr>
        <w:t xml:space="preserve">. </w:t>
      </w:r>
      <w:r w:rsidR="00A22B64" w:rsidRPr="001172CC">
        <w:rPr>
          <w:sz w:val="22"/>
          <w:szCs w:val="22"/>
        </w:rPr>
        <w:t>Transition tools and measurement resources to accompany these suggestions are available</w:t>
      </w:r>
      <w:r w:rsidR="006C7350" w:rsidRPr="001172CC">
        <w:rPr>
          <w:sz w:val="22"/>
          <w:szCs w:val="22"/>
        </w:rPr>
        <w:t xml:space="preserve"> at: </w:t>
      </w:r>
      <w:hyperlink r:id="rId7" w:history="1">
        <w:r w:rsidR="006C7350" w:rsidRPr="001172CC">
          <w:rPr>
            <w:rStyle w:val="Hyperlink"/>
            <w:sz w:val="22"/>
            <w:szCs w:val="22"/>
          </w:rPr>
          <w:t>www.gottransition.org</w:t>
        </w:r>
      </w:hyperlink>
      <w:r w:rsidR="006C7350" w:rsidRPr="001172CC">
        <w:rPr>
          <w:sz w:val="22"/>
          <w:szCs w:val="22"/>
        </w:rPr>
        <w:t>.</w:t>
      </w:r>
    </w:p>
    <w:p w:rsidR="00310A17" w:rsidRPr="001172CC" w:rsidRDefault="00AF41A0" w:rsidP="00A22B64">
      <w:pPr>
        <w:spacing w:before="360"/>
        <w:ind w:left="-270"/>
        <w:rPr>
          <w:b/>
          <w:color w:val="365F91" w:themeColor="accent1" w:themeShade="BF"/>
        </w:rPr>
      </w:pPr>
      <w:r w:rsidRPr="001172CC">
        <w:rPr>
          <w:b/>
          <w:color w:val="365F91" w:themeColor="accent1" w:themeShade="BF"/>
        </w:rPr>
        <w:t xml:space="preserve">Step 1: </w:t>
      </w:r>
      <w:r w:rsidR="00A22B64" w:rsidRPr="001172CC">
        <w:rPr>
          <w:b/>
          <w:color w:val="365F91" w:themeColor="accent1" w:themeShade="BF"/>
        </w:rPr>
        <w:t xml:space="preserve">Forming </w:t>
      </w:r>
      <w:r w:rsidR="00A418BB" w:rsidRPr="001172CC">
        <w:rPr>
          <w:b/>
          <w:color w:val="365F91" w:themeColor="accent1" w:themeShade="BF"/>
        </w:rPr>
        <w:t>the</w:t>
      </w:r>
      <w:r w:rsidR="00A22B64" w:rsidRPr="001172CC">
        <w:rPr>
          <w:b/>
          <w:color w:val="365F91" w:themeColor="accent1" w:themeShade="BF"/>
        </w:rPr>
        <w:t xml:space="preserve"> </w:t>
      </w:r>
      <w:r w:rsidR="00310A17" w:rsidRPr="001172CC">
        <w:rPr>
          <w:b/>
          <w:color w:val="365F91" w:themeColor="accent1" w:themeShade="BF"/>
        </w:rPr>
        <w:t>Transition</w:t>
      </w:r>
      <w:r w:rsidR="00A22B64" w:rsidRPr="001172CC">
        <w:rPr>
          <w:b/>
          <w:color w:val="365F91" w:themeColor="accent1" w:themeShade="BF"/>
        </w:rPr>
        <w:t xml:space="preserve"> </w:t>
      </w:r>
      <w:r w:rsidR="00F0623A" w:rsidRPr="001172CC">
        <w:rPr>
          <w:b/>
          <w:color w:val="365F91" w:themeColor="accent1" w:themeShade="BF"/>
        </w:rPr>
        <w:t xml:space="preserve">Improvement </w:t>
      </w:r>
      <w:r w:rsidR="00A22B64" w:rsidRPr="001172CC">
        <w:rPr>
          <w:b/>
          <w:color w:val="365F91" w:themeColor="accent1" w:themeShade="BF"/>
        </w:rPr>
        <w:t>Team</w:t>
      </w:r>
    </w:p>
    <w:p w:rsidR="007A6C2B" w:rsidRPr="001172CC" w:rsidRDefault="00BD1468" w:rsidP="007B7C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Include key stakeholders</w:t>
      </w:r>
      <w:r w:rsidR="00AF41A0" w:rsidRPr="001172CC">
        <w:rPr>
          <w:sz w:val="22"/>
          <w:szCs w:val="22"/>
        </w:rPr>
        <w:t>:</w:t>
      </w:r>
    </w:p>
    <w:p w:rsidR="00871991" w:rsidRPr="001172CC" w:rsidRDefault="00847B1A" w:rsidP="007A6C2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 xml:space="preserve">Pediatric care </w:t>
      </w:r>
      <w:r w:rsidR="00871991" w:rsidRPr="001172CC">
        <w:rPr>
          <w:sz w:val="22"/>
          <w:szCs w:val="22"/>
        </w:rPr>
        <w:t>champion</w:t>
      </w:r>
      <w:r w:rsidR="00BD1468" w:rsidRPr="001172CC">
        <w:rPr>
          <w:sz w:val="22"/>
          <w:szCs w:val="22"/>
        </w:rPr>
        <w:t>(</w:t>
      </w:r>
      <w:r w:rsidR="007B7C93" w:rsidRPr="001172CC">
        <w:rPr>
          <w:sz w:val="22"/>
          <w:szCs w:val="22"/>
        </w:rPr>
        <w:t>s</w:t>
      </w:r>
      <w:r w:rsidR="00BD1468" w:rsidRPr="001172CC">
        <w:rPr>
          <w:sz w:val="22"/>
          <w:szCs w:val="22"/>
        </w:rPr>
        <w:t>)</w:t>
      </w:r>
    </w:p>
    <w:p w:rsidR="00871991" w:rsidRPr="001172CC" w:rsidRDefault="00871991" w:rsidP="007A6C2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Adult care champion</w:t>
      </w:r>
      <w:r w:rsidR="00BD1468" w:rsidRPr="001172CC">
        <w:rPr>
          <w:sz w:val="22"/>
          <w:szCs w:val="22"/>
        </w:rPr>
        <w:t>(</w:t>
      </w:r>
      <w:r w:rsidR="007B7C93" w:rsidRPr="001172CC">
        <w:rPr>
          <w:sz w:val="22"/>
          <w:szCs w:val="22"/>
        </w:rPr>
        <w:t>s</w:t>
      </w:r>
      <w:r w:rsidR="00BD1468" w:rsidRPr="001172CC">
        <w:rPr>
          <w:sz w:val="22"/>
          <w:szCs w:val="22"/>
        </w:rPr>
        <w:t>)</w:t>
      </w:r>
    </w:p>
    <w:p w:rsidR="004C72BB" w:rsidRPr="001172CC" w:rsidRDefault="003629CD" w:rsidP="007A6C2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C</w:t>
      </w:r>
      <w:r w:rsidR="00871991" w:rsidRPr="001172CC">
        <w:rPr>
          <w:sz w:val="22"/>
          <w:szCs w:val="22"/>
        </w:rPr>
        <w:t>are coordinator</w:t>
      </w:r>
      <w:r w:rsidR="00BD1468" w:rsidRPr="001172CC">
        <w:rPr>
          <w:sz w:val="22"/>
          <w:szCs w:val="22"/>
        </w:rPr>
        <w:t>(</w:t>
      </w:r>
      <w:r w:rsidR="007B7C93" w:rsidRPr="001172CC">
        <w:rPr>
          <w:sz w:val="22"/>
          <w:szCs w:val="22"/>
        </w:rPr>
        <w:t>s</w:t>
      </w:r>
      <w:r w:rsidR="00BD1468" w:rsidRPr="001172CC">
        <w:rPr>
          <w:sz w:val="22"/>
          <w:szCs w:val="22"/>
        </w:rPr>
        <w:t>)</w:t>
      </w:r>
    </w:p>
    <w:p w:rsidR="006C7350" w:rsidRPr="001172CC" w:rsidRDefault="007B7C93" w:rsidP="006C7350">
      <w:pPr>
        <w:pStyle w:val="ListParagraph"/>
        <w:numPr>
          <w:ilvl w:val="1"/>
          <w:numId w:val="1"/>
        </w:numPr>
      </w:pPr>
      <w:r w:rsidRPr="001172CC">
        <w:rPr>
          <w:sz w:val="22"/>
          <w:szCs w:val="22"/>
        </w:rPr>
        <w:t>Consumers -- y</w:t>
      </w:r>
      <w:r w:rsidR="00871991" w:rsidRPr="001172CC">
        <w:rPr>
          <w:sz w:val="22"/>
          <w:szCs w:val="22"/>
        </w:rPr>
        <w:t>ou</w:t>
      </w:r>
      <w:r w:rsidR="00AF41A0" w:rsidRPr="001172CC">
        <w:rPr>
          <w:sz w:val="22"/>
          <w:szCs w:val="22"/>
        </w:rPr>
        <w:t>ng adults who have transitioned</w:t>
      </w:r>
      <w:r w:rsidR="00701BEA" w:rsidRPr="001172CC">
        <w:rPr>
          <w:sz w:val="22"/>
          <w:szCs w:val="22"/>
        </w:rPr>
        <w:t xml:space="preserve"> and </w:t>
      </w:r>
      <w:r w:rsidRPr="001172CC">
        <w:rPr>
          <w:sz w:val="22"/>
          <w:szCs w:val="22"/>
        </w:rPr>
        <w:t>p</w:t>
      </w:r>
      <w:r w:rsidR="00701BEA" w:rsidRPr="001172CC">
        <w:rPr>
          <w:sz w:val="22"/>
          <w:szCs w:val="22"/>
        </w:rPr>
        <w:t>arent</w:t>
      </w:r>
      <w:r w:rsidR="00AF41A0" w:rsidRPr="001172CC">
        <w:rPr>
          <w:sz w:val="22"/>
          <w:szCs w:val="22"/>
        </w:rPr>
        <w:t>s</w:t>
      </w:r>
      <w:r w:rsidR="00701BEA" w:rsidRPr="001172CC">
        <w:rPr>
          <w:sz w:val="22"/>
          <w:szCs w:val="22"/>
        </w:rPr>
        <w:t xml:space="preserve"> of youth in transitio</w:t>
      </w:r>
      <w:r w:rsidR="004C72BB" w:rsidRPr="001172CC">
        <w:rPr>
          <w:sz w:val="22"/>
          <w:szCs w:val="22"/>
        </w:rPr>
        <w:t>n</w:t>
      </w:r>
    </w:p>
    <w:p w:rsidR="006C7350" w:rsidRPr="001172CC" w:rsidRDefault="00701BEA" w:rsidP="006C7350">
      <w:pPr>
        <w:pStyle w:val="ListParagraph"/>
        <w:numPr>
          <w:ilvl w:val="2"/>
          <w:numId w:val="1"/>
        </w:numPr>
      </w:pPr>
      <w:r w:rsidRPr="001172CC">
        <w:rPr>
          <w:sz w:val="22"/>
          <w:szCs w:val="22"/>
        </w:rPr>
        <w:t xml:space="preserve">Plan to </w:t>
      </w:r>
      <w:r w:rsidR="00F67D4C" w:rsidRPr="001172CC">
        <w:rPr>
          <w:sz w:val="22"/>
          <w:szCs w:val="22"/>
        </w:rPr>
        <w:t>support their</w:t>
      </w:r>
      <w:r w:rsidRPr="001172CC">
        <w:rPr>
          <w:sz w:val="22"/>
          <w:szCs w:val="22"/>
        </w:rPr>
        <w:t xml:space="preserve"> time</w:t>
      </w:r>
      <w:r w:rsidR="00356609" w:rsidRPr="001172CC">
        <w:rPr>
          <w:sz w:val="22"/>
          <w:szCs w:val="22"/>
        </w:rPr>
        <w:t xml:space="preserve"> unless they are paid staff members </w:t>
      </w:r>
    </w:p>
    <w:p w:rsidR="006C7350" w:rsidRPr="001172CC" w:rsidRDefault="00701BEA" w:rsidP="006C7350">
      <w:pPr>
        <w:pStyle w:val="ListParagraph"/>
        <w:numPr>
          <w:ilvl w:val="2"/>
          <w:numId w:val="1"/>
        </w:numPr>
      </w:pPr>
      <w:r w:rsidRPr="001172CC">
        <w:rPr>
          <w:sz w:val="22"/>
          <w:szCs w:val="22"/>
        </w:rPr>
        <w:t>Be flexible about meeting times to accommodate participation</w:t>
      </w:r>
    </w:p>
    <w:p w:rsidR="006C7350" w:rsidRPr="001172CC" w:rsidRDefault="00701BEA" w:rsidP="006C7350">
      <w:pPr>
        <w:pStyle w:val="ListParagraph"/>
        <w:numPr>
          <w:ilvl w:val="2"/>
          <w:numId w:val="1"/>
        </w:numPr>
      </w:pPr>
      <w:r w:rsidRPr="001172CC">
        <w:rPr>
          <w:sz w:val="22"/>
          <w:szCs w:val="22"/>
        </w:rPr>
        <w:t xml:space="preserve">Consider recruiting more than one </w:t>
      </w:r>
      <w:r w:rsidR="00F0623A" w:rsidRPr="001172CC">
        <w:rPr>
          <w:sz w:val="22"/>
          <w:szCs w:val="22"/>
        </w:rPr>
        <w:t>youth and family consumer</w:t>
      </w:r>
      <w:r w:rsidR="004C72BB" w:rsidRPr="001172CC">
        <w:rPr>
          <w:sz w:val="22"/>
          <w:szCs w:val="22"/>
        </w:rPr>
        <w:t xml:space="preserve"> so their views and opinions are always represented</w:t>
      </w:r>
    </w:p>
    <w:p w:rsidR="003629CD" w:rsidRPr="001172CC" w:rsidRDefault="00701BEA" w:rsidP="006C7350">
      <w:pPr>
        <w:pStyle w:val="ListParagraph"/>
        <w:numPr>
          <w:ilvl w:val="2"/>
          <w:numId w:val="1"/>
        </w:numPr>
      </w:pPr>
      <w:r w:rsidRPr="001172CC">
        <w:rPr>
          <w:sz w:val="22"/>
          <w:szCs w:val="22"/>
        </w:rPr>
        <w:t>Articulate role and provide training if needed</w:t>
      </w:r>
      <w:r w:rsidR="00087386" w:rsidRPr="001172CC">
        <w:rPr>
          <w:sz w:val="22"/>
          <w:szCs w:val="22"/>
        </w:rPr>
        <w:t xml:space="preserve"> (including from other consumers who have taken</w:t>
      </w:r>
      <w:r w:rsidR="00356609" w:rsidRPr="001172CC">
        <w:rPr>
          <w:sz w:val="22"/>
          <w:szCs w:val="22"/>
        </w:rPr>
        <w:t xml:space="preserve"> leadership</w:t>
      </w:r>
      <w:r w:rsidR="00087386" w:rsidRPr="001172CC">
        <w:rPr>
          <w:sz w:val="22"/>
          <w:szCs w:val="22"/>
        </w:rPr>
        <w:t xml:space="preserve"> role</w:t>
      </w:r>
      <w:r w:rsidR="00356609" w:rsidRPr="001172CC">
        <w:rPr>
          <w:sz w:val="22"/>
          <w:szCs w:val="22"/>
        </w:rPr>
        <w:t>s in the practice</w:t>
      </w:r>
      <w:r w:rsidR="00087386" w:rsidRPr="001172CC">
        <w:rPr>
          <w:sz w:val="22"/>
          <w:szCs w:val="22"/>
        </w:rPr>
        <w:t>)</w:t>
      </w:r>
    </w:p>
    <w:p w:rsidR="006C7350" w:rsidRPr="001172CC" w:rsidRDefault="007B7C93" w:rsidP="006C735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172CC">
        <w:rPr>
          <w:sz w:val="22"/>
          <w:szCs w:val="22"/>
        </w:rPr>
        <w:t xml:space="preserve">Others (part of team or participate on </w:t>
      </w:r>
      <w:r w:rsidR="00087386" w:rsidRPr="001172CC">
        <w:rPr>
          <w:sz w:val="22"/>
          <w:szCs w:val="22"/>
        </w:rPr>
        <w:t>ad hoc</w:t>
      </w:r>
      <w:r w:rsidRPr="001172CC">
        <w:rPr>
          <w:sz w:val="22"/>
          <w:szCs w:val="22"/>
        </w:rPr>
        <w:t xml:space="preserve"> basis)</w:t>
      </w:r>
    </w:p>
    <w:p w:rsidR="006C7350" w:rsidRPr="001172CC" w:rsidRDefault="00871991" w:rsidP="006C7350">
      <w:pPr>
        <w:pStyle w:val="ListParagraph"/>
        <w:numPr>
          <w:ilvl w:val="1"/>
          <w:numId w:val="6"/>
        </w:numPr>
        <w:ind w:left="2340"/>
        <w:rPr>
          <w:sz w:val="22"/>
          <w:szCs w:val="22"/>
        </w:rPr>
      </w:pPr>
      <w:r w:rsidRPr="001172CC">
        <w:rPr>
          <w:sz w:val="22"/>
          <w:szCs w:val="22"/>
        </w:rPr>
        <w:t>Clinic administrator</w:t>
      </w:r>
      <w:r w:rsidR="00701BEA" w:rsidRPr="001172CC">
        <w:rPr>
          <w:sz w:val="22"/>
          <w:szCs w:val="22"/>
        </w:rPr>
        <w:t>s (nursing</w:t>
      </w:r>
      <w:r w:rsidR="007B7C93" w:rsidRPr="001172CC">
        <w:rPr>
          <w:sz w:val="22"/>
          <w:szCs w:val="22"/>
        </w:rPr>
        <w:t>,</w:t>
      </w:r>
      <w:r w:rsidR="00BD1468" w:rsidRPr="001172CC">
        <w:rPr>
          <w:sz w:val="22"/>
          <w:szCs w:val="22"/>
        </w:rPr>
        <w:t xml:space="preserve"> social work, front desk</w:t>
      </w:r>
      <w:r w:rsidR="00701BEA" w:rsidRPr="001172CC">
        <w:rPr>
          <w:sz w:val="22"/>
          <w:szCs w:val="22"/>
        </w:rPr>
        <w:t xml:space="preserve">) from both pediatric and adult </w:t>
      </w:r>
      <w:r w:rsidR="007B7C93" w:rsidRPr="001172CC">
        <w:rPr>
          <w:sz w:val="22"/>
          <w:szCs w:val="22"/>
        </w:rPr>
        <w:t>practices/</w:t>
      </w:r>
      <w:r w:rsidR="00701BEA" w:rsidRPr="001172CC">
        <w:rPr>
          <w:sz w:val="22"/>
          <w:szCs w:val="22"/>
        </w:rPr>
        <w:t>clinics</w:t>
      </w:r>
    </w:p>
    <w:p w:rsidR="006C7350" w:rsidRPr="001172CC" w:rsidRDefault="006C7350" w:rsidP="006C7350">
      <w:pPr>
        <w:pStyle w:val="ListParagraph"/>
        <w:numPr>
          <w:ilvl w:val="1"/>
          <w:numId w:val="6"/>
        </w:numPr>
        <w:ind w:left="2340"/>
        <w:rPr>
          <w:sz w:val="22"/>
          <w:szCs w:val="22"/>
        </w:rPr>
      </w:pPr>
      <w:r w:rsidRPr="001172CC">
        <w:rPr>
          <w:sz w:val="22"/>
          <w:szCs w:val="22"/>
        </w:rPr>
        <w:t>Electronic health record (</w:t>
      </w:r>
      <w:r w:rsidR="00310A17" w:rsidRPr="001172CC">
        <w:rPr>
          <w:sz w:val="22"/>
          <w:szCs w:val="22"/>
        </w:rPr>
        <w:t>EH</w:t>
      </w:r>
      <w:r w:rsidR="00592507" w:rsidRPr="001172CC">
        <w:rPr>
          <w:sz w:val="22"/>
          <w:szCs w:val="22"/>
        </w:rPr>
        <w:t>R</w:t>
      </w:r>
      <w:r w:rsidRPr="001172CC">
        <w:rPr>
          <w:sz w:val="22"/>
          <w:szCs w:val="22"/>
        </w:rPr>
        <w:t>)</w:t>
      </w:r>
      <w:r w:rsidR="00592507" w:rsidRPr="001172CC">
        <w:rPr>
          <w:sz w:val="22"/>
          <w:szCs w:val="22"/>
        </w:rPr>
        <w:t xml:space="preserve"> representative</w:t>
      </w:r>
    </w:p>
    <w:p w:rsidR="007B7C93" w:rsidRDefault="007B7C93" w:rsidP="006C7350">
      <w:pPr>
        <w:pStyle w:val="ListParagraph"/>
        <w:numPr>
          <w:ilvl w:val="1"/>
          <w:numId w:val="6"/>
        </w:numPr>
        <w:ind w:left="2340"/>
        <w:rPr>
          <w:sz w:val="22"/>
          <w:szCs w:val="22"/>
        </w:rPr>
      </w:pPr>
      <w:r w:rsidRPr="001172CC">
        <w:rPr>
          <w:sz w:val="22"/>
          <w:szCs w:val="22"/>
        </w:rPr>
        <w:t>S</w:t>
      </w:r>
      <w:r w:rsidR="00087386" w:rsidRPr="001172CC">
        <w:rPr>
          <w:sz w:val="22"/>
          <w:szCs w:val="22"/>
        </w:rPr>
        <w:t>enior leader</w:t>
      </w:r>
    </w:p>
    <w:p w:rsidR="00BB53AA" w:rsidRPr="00D22508" w:rsidRDefault="00D22508" w:rsidP="006C7350">
      <w:pPr>
        <w:pStyle w:val="ListParagraph"/>
        <w:numPr>
          <w:ilvl w:val="1"/>
          <w:numId w:val="6"/>
        </w:numPr>
        <w:ind w:left="2340"/>
        <w:rPr>
          <w:sz w:val="22"/>
          <w:szCs w:val="22"/>
        </w:rPr>
      </w:pPr>
      <w:r w:rsidRPr="00D22508">
        <w:rPr>
          <w:sz w:val="22"/>
          <w:szCs w:val="22"/>
        </w:rPr>
        <w:t>Payer(s)</w:t>
      </w:r>
    </w:p>
    <w:p w:rsidR="007B7C93" w:rsidRPr="001172CC" w:rsidRDefault="007B7C93" w:rsidP="007B7C93">
      <w:pPr>
        <w:rPr>
          <w:b/>
          <w:color w:val="365F91" w:themeColor="accent1" w:themeShade="BF"/>
          <w:sz w:val="22"/>
          <w:szCs w:val="22"/>
        </w:rPr>
      </w:pPr>
    </w:p>
    <w:p w:rsidR="00A22B64" w:rsidRPr="001172CC" w:rsidRDefault="00AF41A0" w:rsidP="007B7C93">
      <w:r w:rsidRPr="001172CC">
        <w:rPr>
          <w:b/>
          <w:color w:val="365F91" w:themeColor="accent1" w:themeShade="BF"/>
        </w:rPr>
        <w:t xml:space="preserve">Step 2: </w:t>
      </w:r>
      <w:r w:rsidR="00A418BB" w:rsidRPr="001172CC">
        <w:rPr>
          <w:b/>
          <w:color w:val="365F91" w:themeColor="accent1" w:themeShade="BF"/>
        </w:rPr>
        <w:t xml:space="preserve">Defining Transition </w:t>
      </w:r>
      <w:r w:rsidRPr="001172CC">
        <w:rPr>
          <w:b/>
          <w:color w:val="365F91" w:themeColor="accent1" w:themeShade="BF"/>
        </w:rPr>
        <w:t xml:space="preserve">Processes </w:t>
      </w:r>
      <w:r w:rsidR="00E36893" w:rsidRPr="001172CC">
        <w:rPr>
          <w:b/>
          <w:color w:val="365F91" w:themeColor="accent1" w:themeShade="BF"/>
        </w:rPr>
        <w:t>for Improvement</w:t>
      </w:r>
    </w:p>
    <w:p w:rsidR="00871991" w:rsidRPr="001172CC" w:rsidRDefault="009B6CE5" w:rsidP="007B7C9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172CC">
        <w:rPr>
          <w:sz w:val="22"/>
          <w:szCs w:val="22"/>
        </w:rPr>
        <w:t xml:space="preserve">Create a </w:t>
      </w:r>
      <w:r w:rsidR="00AF41A0" w:rsidRPr="001172CC">
        <w:rPr>
          <w:sz w:val="22"/>
          <w:szCs w:val="22"/>
        </w:rPr>
        <w:t xml:space="preserve">Health Care </w:t>
      </w:r>
      <w:r w:rsidR="007B7C93" w:rsidRPr="001172CC">
        <w:rPr>
          <w:sz w:val="22"/>
          <w:szCs w:val="22"/>
        </w:rPr>
        <w:t>Transition</w:t>
      </w:r>
      <w:r w:rsidR="006C7350" w:rsidRPr="001172CC">
        <w:rPr>
          <w:sz w:val="22"/>
          <w:szCs w:val="22"/>
        </w:rPr>
        <w:t xml:space="preserve"> (HCT)</w:t>
      </w:r>
      <w:r w:rsidR="00E4797C" w:rsidRPr="001172CC">
        <w:rPr>
          <w:sz w:val="22"/>
          <w:szCs w:val="22"/>
        </w:rPr>
        <w:t xml:space="preserve"> Charter</w:t>
      </w:r>
      <w:r w:rsidRPr="001172CC">
        <w:rPr>
          <w:sz w:val="22"/>
          <w:szCs w:val="22"/>
        </w:rPr>
        <w:t xml:space="preserve"> (goals and plan)</w:t>
      </w:r>
      <w:r w:rsidR="007B7C93" w:rsidRPr="001172CC">
        <w:rPr>
          <w:sz w:val="22"/>
          <w:szCs w:val="22"/>
        </w:rPr>
        <w:t xml:space="preserve"> that includes:</w:t>
      </w:r>
    </w:p>
    <w:p w:rsidR="00F0623A" w:rsidRPr="001172CC" w:rsidRDefault="00871991" w:rsidP="0087199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Overall aim</w:t>
      </w:r>
      <w:r w:rsidR="00AF41A0" w:rsidRPr="001172CC">
        <w:rPr>
          <w:sz w:val="22"/>
          <w:szCs w:val="22"/>
        </w:rPr>
        <w:t>:</w:t>
      </w:r>
      <w:r w:rsidR="00F0623A" w:rsidRPr="001172CC">
        <w:rPr>
          <w:sz w:val="22"/>
          <w:szCs w:val="22"/>
        </w:rPr>
        <w:t xml:space="preserve"> population, target goals, timeline</w:t>
      </w:r>
      <w:r w:rsidR="00EF5049" w:rsidRPr="001172CC">
        <w:rPr>
          <w:sz w:val="22"/>
          <w:szCs w:val="22"/>
        </w:rPr>
        <w:t>, success</w:t>
      </w:r>
      <w:r w:rsidR="00F0623A" w:rsidRPr="001172CC">
        <w:rPr>
          <w:sz w:val="22"/>
          <w:szCs w:val="22"/>
        </w:rPr>
        <w:t xml:space="preserve"> indicators</w:t>
      </w:r>
    </w:p>
    <w:p w:rsidR="00871991" w:rsidRPr="001172CC" w:rsidRDefault="007B7C93" w:rsidP="0087199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S</w:t>
      </w:r>
      <w:r w:rsidR="00871991" w:rsidRPr="001172CC">
        <w:rPr>
          <w:sz w:val="22"/>
          <w:szCs w:val="22"/>
        </w:rPr>
        <w:t>cope (single clinic, primary care, specialty</w:t>
      </w:r>
      <w:r w:rsidR="007A6C2B" w:rsidRPr="001172CC">
        <w:rPr>
          <w:sz w:val="22"/>
          <w:szCs w:val="22"/>
        </w:rPr>
        <w:t xml:space="preserve"> care, institution-wide</w:t>
      </w:r>
      <w:r w:rsidR="00871991" w:rsidRPr="001172CC">
        <w:rPr>
          <w:sz w:val="22"/>
          <w:szCs w:val="22"/>
        </w:rPr>
        <w:t>)</w:t>
      </w:r>
    </w:p>
    <w:p w:rsidR="00847B1A" w:rsidRPr="001172CC" w:rsidRDefault="00847B1A" w:rsidP="0087199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 xml:space="preserve">Population – all youth vs. special health care needs vs. </w:t>
      </w:r>
      <w:r w:rsidR="00E43968" w:rsidRPr="001172CC">
        <w:rPr>
          <w:sz w:val="22"/>
          <w:szCs w:val="22"/>
        </w:rPr>
        <w:t xml:space="preserve">selected conditions </w:t>
      </w:r>
    </w:p>
    <w:p w:rsidR="00871991" w:rsidRPr="001172CC" w:rsidRDefault="00871991" w:rsidP="0087199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Rationale – why now?</w:t>
      </w:r>
      <w:r w:rsidR="00BF09EE" w:rsidRPr="001172CC">
        <w:rPr>
          <w:sz w:val="22"/>
          <w:szCs w:val="22"/>
        </w:rPr>
        <w:t xml:space="preserve"> (</w:t>
      </w:r>
      <w:r w:rsidR="001F0514" w:rsidRPr="001172CC">
        <w:rPr>
          <w:sz w:val="22"/>
          <w:szCs w:val="22"/>
        </w:rPr>
        <w:t>Consider</w:t>
      </w:r>
      <w:r w:rsidR="00BD1468" w:rsidRPr="001172CC">
        <w:rPr>
          <w:sz w:val="22"/>
          <w:szCs w:val="22"/>
        </w:rPr>
        <w:t xml:space="preserve"> having </w:t>
      </w:r>
      <w:r w:rsidR="001F0514" w:rsidRPr="001172CC">
        <w:rPr>
          <w:sz w:val="22"/>
          <w:szCs w:val="22"/>
        </w:rPr>
        <w:t>pediatric and adult</w:t>
      </w:r>
      <w:r w:rsidR="00BD1468" w:rsidRPr="001172CC">
        <w:rPr>
          <w:sz w:val="22"/>
          <w:szCs w:val="22"/>
        </w:rPr>
        <w:t xml:space="preserve"> providers involved </w:t>
      </w:r>
      <w:r w:rsidR="00BF09EE" w:rsidRPr="001172CC">
        <w:rPr>
          <w:sz w:val="22"/>
          <w:szCs w:val="22"/>
        </w:rPr>
        <w:t>complete</w:t>
      </w:r>
      <w:r w:rsidR="00BD1468" w:rsidRPr="001172CC">
        <w:rPr>
          <w:sz w:val="22"/>
          <w:szCs w:val="22"/>
        </w:rPr>
        <w:t xml:space="preserve"> </w:t>
      </w:r>
      <w:r w:rsidR="009637D8">
        <w:rPr>
          <w:sz w:val="22"/>
          <w:szCs w:val="22"/>
        </w:rPr>
        <w:t xml:space="preserve">the </w:t>
      </w:r>
      <w:hyperlink r:id="rId8" w:history="1">
        <w:r w:rsidR="009637D8" w:rsidRPr="009637D8">
          <w:rPr>
            <w:rStyle w:val="Hyperlink"/>
            <w:sz w:val="22"/>
            <w:szCs w:val="22"/>
          </w:rPr>
          <w:t>Current Assessment of HCT Activities</w:t>
        </w:r>
      </w:hyperlink>
      <w:r w:rsidR="009637D8">
        <w:rPr>
          <w:sz w:val="22"/>
          <w:szCs w:val="22"/>
        </w:rPr>
        <w:t xml:space="preserve"> t</w:t>
      </w:r>
      <w:r w:rsidR="00BD1468" w:rsidRPr="001172CC">
        <w:rPr>
          <w:sz w:val="22"/>
          <w:szCs w:val="22"/>
        </w:rPr>
        <w:t>oo</w:t>
      </w:r>
      <w:r w:rsidR="00BF09EE" w:rsidRPr="001172CC">
        <w:rPr>
          <w:sz w:val="22"/>
          <w:szCs w:val="22"/>
        </w:rPr>
        <w:t>l</w:t>
      </w:r>
      <w:r w:rsidR="00BD1468" w:rsidRPr="001172CC">
        <w:rPr>
          <w:sz w:val="22"/>
          <w:szCs w:val="22"/>
        </w:rPr>
        <w:t xml:space="preserve"> </w:t>
      </w:r>
      <w:r w:rsidR="00BF09EE" w:rsidRPr="001172CC">
        <w:rPr>
          <w:sz w:val="22"/>
          <w:szCs w:val="22"/>
        </w:rPr>
        <w:t>to document the</w:t>
      </w:r>
      <w:r w:rsidR="00BD1468" w:rsidRPr="001172CC">
        <w:rPr>
          <w:sz w:val="22"/>
          <w:szCs w:val="22"/>
        </w:rPr>
        <w:t xml:space="preserve"> need</w:t>
      </w:r>
      <w:r w:rsidR="00BF09EE" w:rsidRPr="001172CC">
        <w:rPr>
          <w:sz w:val="22"/>
          <w:szCs w:val="22"/>
        </w:rPr>
        <w:t>)</w:t>
      </w:r>
    </w:p>
    <w:p w:rsidR="00087386" w:rsidRPr="001172CC" w:rsidRDefault="00087386" w:rsidP="0087199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Strategies/drivers</w:t>
      </w:r>
      <w:r w:rsidR="00BD1468" w:rsidRPr="001172CC">
        <w:rPr>
          <w:sz w:val="22"/>
          <w:szCs w:val="22"/>
        </w:rPr>
        <w:t xml:space="preserve"> in the practice/system that can augment to push the project </w:t>
      </w:r>
      <w:r w:rsidR="00EF5049" w:rsidRPr="001172CC">
        <w:rPr>
          <w:sz w:val="22"/>
          <w:szCs w:val="22"/>
        </w:rPr>
        <w:t>to meet charter’s goals</w:t>
      </w:r>
    </w:p>
    <w:p w:rsidR="00E43968" w:rsidRPr="001172CC" w:rsidRDefault="00BF09EE" w:rsidP="0087199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Key c</w:t>
      </w:r>
      <w:r w:rsidR="00701BEA" w:rsidRPr="001172CC">
        <w:rPr>
          <w:sz w:val="22"/>
          <w:szCs w:val="22"/>
        </w:rPr>
        <w:t>hallenge</w:t>
      </w:r>
      <w:r w:rsidR="00E43968" w:rsidRPr="001172CC">
        <w:rPr>
          <w:sz w:val="22"/>
          <w:szCs w:val="22"/>
        </w:rPr>
        <w:t xml:space="preserve">s and barriers within system that need to be </w:t>
      </w:r>
      <w:r w:rsidR="00EF5049" w:rsidRPr="001172CC">
        <w:rPr>
          <w:sz w:val="22"/>
          <w:szCs w:val="22"/>
        </w:rPr>
        <w:t xml:space="preserve">overcome </w:t>
      </w:r>
    </w:p>
    <w:p w:rsidR="00E4797C" w:rsidRPr="001172CC" w:rsidRDefault="003629CD" w:rsidP="0087199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T</w:t>
      </w:r>
      <w:r w:rsidR="00E4797C" w:rsidRPr="001172CC">
        <w:rPr>
          <w:sz w:val="22"/>
          <w:szCs w:val="22"/>
        </w:rPr>
        <w:t>imeline</w:t>
      </w:r>
      <w:r w:rsidR="00EF5049" w:rsidRPr="001172CC">
        <w:rPr>
          <w:sz w:val="22"/>
          <w:szCs w:val="22"/>
        </w:rPr>
        <w:t xml:space="preserve"> for improvement activities</w:t>
      </w:r>
    </w:p>
    <w:p w:rsidR="00871991" w:rsidRPr="001172CC" w:rsidRDefault="00871991" w:rsidP="0087199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Measures of success</w:t>
      </w:r>
    </w:p>
    <w:p w:rsidR="003629CD" w:rsidRPr="001172CC" w:rsidRDefault="00592507" w:rsidP="00310A1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 xml:space="preserve">Evaluation </w:t>
      </w:r>
      <w:r w:rsidR="00E43968" w:rsidRPr="001172CC">
        <w:rPr>
          <w:sz w:val="22"/>
          <w:szCs w:val="22"/>
        </w:rPr>
        <w:t>p</w:t>
      </w:r>
      <w:r w:rsidRPr="001172CC">
        <w:rPr>
          <w:sz w:val="22"/>
          <w:szCs w:val="22"/>
        </w:rPr>
        <w:t>lan for</w:t>
      </w:r>
      <w:r w:rsidR="00E43968" w:rsidRPr="001172CC">
        <w:rPr>
          <w:sz w:val="22"/>
          <w:szCs w:val="22"/>
        </w:rPr>
        <w:t xml:space="preserve"> transition</w:t>
      </w:r>
      <w:r w:rsidR="00701BEA" w:rsidRPr="001172CC">
        <w:rPr>
          <w:sz w:val="22"/>
          <w:szCs w:val="22"/>
        </w:rPr>
        <w:t xml:space="preserve"> </w:t>
      </w:r>
      <w:r w:rsidRPr="001172CC">
        <w:rPr>
          <w:sz w:val="22"/>
          <w:szCs w:val="22"/>
        </w:rPr>
        <w:t xml:space="preserve">process </w:t>
      </w:r>
      <w:r w:rsidR="00E43968" w:rsidRPr="001172CC">
        <w:rPr>
          <w:sz w:val="22"/>
          <w:szCs w:val="22"/>
        </w:rPr>
        <w:t xml:space="preserve">improvements </w:t>
      </w:r>
      <w:r w:rsidR="00701BEA" w:rsidRPr="001172CC">
        <w:rPr>
          <w:sz w:val="22"/>
          <w:szCs w:val="22"/>
        </w:rPr>
        <w:t>(</w:t>
      </w:r>
      <w:r w:rsidR="006C7350" w:rsidRPr="001172CC">
        <w:rPr>
          <w:sz w:val="22"/>
          <w:szCs w:val="22"/>
        </w:rPr>
        <w:t xml:space="preserve">click here for </w:t>
      </w:r>
      <w:hyperlink r:id="rId9" w:history="1">
        <w:r w:rsidR="006C7350" w:rsidRPr="001172CC">
          <w:rPr>
            <w:rStyle w:val="Hyperlink"/>
            <w:sz w:val="22"/>
            <w:szCs w:val="22"/>
          </w:rPr>
          <w:t>Current Assessment of HCT Activities</w:t>
        </w:r>
      </w:hyperlink>
      <w:r w:rsidR="006C7350" w:rsidRPr="001172CC">
        <w:rPr>
          <w:sz w:val="22"/>
          <w:szCs w:val="22"/>
        </w:rPr>
        <w:t xml:space="preserve"> or </w:t>
      </w:r>
      <w:hyperlink r:id="rId10" w:history="1">
        <w:r w:rsidR="006C7350" w:rsidRPr="001172CC">
          <w:rPr>
            <w:rStyle w:val="Hyperlink"/>
            <w:sz w:val="22"/>
            <w:szCs w:val="22"/>
          </w:rPr>
          <w:t>HCT Process Measurement</w:t>
        </w:r>
      </w:hyperlink>
      <w:r w:rsidR="006C7350" w:rsidRPr="001172CC">
        <w:rPr>
          <w:sz w:val="22"/>
          <w:szCs w:val="22"/>
        </w:rPr>
        <w:t xml:space="preserve"> tools</w:t>
      </w:r>
      <w:r w:rsidR="00701BEA" w:rsidRPr="001172CC">
        <w:rPr>
          <w:sz w:val="22"/>
          <w:szCs w:val="22"/>
        </w:rPr>
        <w:t xml:space="preserve">) </w:t>
      </w:r>
      <w:r w:rsidRPr="001172CC">
        <w:rPr>
          <w:sz w:val="22"/>
          <w:szCs w:val="22"/>
        </w:rPr>
        <w:t>and outcome measure</w:t>
      </w:r>
      <w:r w:rsidR="00E43968" w:rsidRPr="001172CC">
        <w:rPr>
          <w:sz w:val="22"/>
          <w:szCs w:val="22"/>
        </w:rPr>
        <w:t>s</w:t>
      </w:r>
      <w:r w:rsidR="00A334DE" w:rsidRPr="001172CC">
        <w:rPr>
          <w:sz w:val="22"/>
          <w:szCs w:val="22"/>
        </w:rPr>
        <w:t xml:space="preserve"> (</w:t>
      </w:r>
      <w:r w:rsidR="006C7350" w:rsidRPr="001172CC">
        <w:rPr>
          <w:sz w:val="22"/>
          <w:szCs w:val="22"/>
        </w:rPr>
        <w:t>e.g.</w:t>
      </w:r>
      <w:r w:rsidR="00E43968" w:rsidRPr="001172CC">
        <w:rPr>
          <w:sz w:val="22"/>
          <w:szCs w:val="22"/>
        </w:rPr>
        <w:t xml:space="preserve">, health care </w:t>
      </w:r>
      <w:r w:rsidR="00A334DE" w:rsidRPr="001172CC">
        <w:rPr>
          <w:sz w:val="22"/>
          <w:szCs w:val="22"/>
        </w:rPr>
        <w:t>utilization</w:t>
      </w:r>
      <w:r w:rsidR="00E43968" w:rsidRPr="001172CC">
        <w:rPr>
          <w:sz w:val="22"/>
          <w:szCs w:val="22"/>
        </w:rPr>
        <w:t>, c</w:t>
      </w:r>
      <w:r w:rsidR="00A334DE" w:rsidRPr="001172CC">
        <w:rPr>
          <w:sz w:val="22"/>
          <w:szCs w:val="22"/>
        </w:rPr>
        <w:t>o</w:t>
      </w:r>
      <w:r w:rsidR="003629CD" w:rsidRPr="001172CC">
        <w:rPr>
          <w:sz w:val="22"/>
          <w:szCs w:val="22"/>
        </w:rPr>
        <w:t>s</w:t>
      </w:r>
      <w:r w:rsidR="00A334DE" w:rsidRPr="001172CC">
        <w:rPr>
          <w:sz w:val="22"/>
          <w:szCs w:val="22"/>
        </w:rPr>
        <w:t>t</w:t>
      </w:r>
      <w:r w:rsidR="00E43968" w:rsidRPr="001172CC">
        <w:rPr>
          <w:sz w:val="22"/>
          <w:szCs w:val="22"/>
        </w:rPr>
        <w:t xml:space="preserve"> of care, transfer completion, continuity of primary care</w:t>
      </w:r>
      <w:r w:rsidR="00A334DE" w:rsidRPr="001172CC">
        <w:rPr>
          <w:sz w:val="22"/>
          <w:szCs w:val="22"/>
        </w:rPr>
        <w:t xml:space="preserve">) and </w:t>
      </w:r>
      <w:r w:rsidR="006C7350" w:rsidRPr="001172CC">
        <w:rPr>
          <w:sz w:val="22"/>
          <w:szCs w:val="22"/>
        </w:rPr>
        <w:t xml:space="preserve">transition experience of youth (click here for </w:t>
      </w:r>
      <w:hyperlink r:id="rId11" w:history="1">
        <w:r w:rsidR="006C7350" w:rsidRPr="001172CC">
          <w:rPr>
            <w:rStyle w:val="Hyperlink"/>
            <w:sz w:val="22"/>
            <w:szCs w:val="22"/>
          </w:rPr>
          <w:t>HCT Feedback Survey for Youth</w:t>
        </w:r>
      </w:hyperlink>
      <w:r w:rsidR="006C7350" w:rsidRPr="001172CC">
        <w:rPr>
          <w:sz w:val="22"/>
          <w:szCs w:val="22"/>
        </w:rPr>
        <w:t>)</w:t>
      </w:r>
    </w:p>
    <w:p w:rsidR="007A6C2B" w:rsidRPr="001172CC" w:rsidRDefault="007A6C2B" w:rsidP="007A6C2B">
      <w:pPr>
        <w:pStyle w:val="ListParagraph"/>
        <w:ind w:left="1440"/>
        <w:rPr>
          <w:sz w:val="22"/>
          <w:szCs w:val="22"/>
        </w:rPr>
      </w:pPr>
    </w:p>
    <w:p w:rsidR="007A6C2B" w:rsidRPr="001172CC" w:rsidRDefault="007A6C2B" w:rsidP="007A6C2B">
      <w:pPr>
        <w:pStyle w:val="ListParagraph"/>
        <w:ind w:left="1440"/>
        <w:rPr>
          <w:sz w:val="22"/>
          <w:szCs w:val="22"/>
        </w:rPr>
      </w:pPr>
    </w:p>
    <w:p w:rsidR="00E36893" w:rsidRPr="001172CC" w:rsidRDefault="00BF09EE" w:rsidP="00E36893">
      <w:pPr>
        <w:spacing w:before="360"/>
        <w:rPr>
          <w:b/>
          <w:color w:val="365F91" w:themeColor="accent1" w:themeShade="BF"/>
        </w:rPr>
      </w:pPr>
      <w:r w:rsidRPr="001172CC">
        <w:rPr>
          <w:b/>
          <w:color w:val="365F91" w:themeColor="accent1" w:themeShade="BF"/>
        </w:rPr>
        <w:lastRenderedPageBreak/>
        <w:t xml:space="preserve">Step 3: </w:t>
      </w:r>
      <w:r w:rsidR="00E36893" w:rsidRPr="001172CC">
        <w:rPr>
          <w:b/>
          <w:color w:val="365F91" w:themeColor="accent1" w:themeShade="BF"/>
        </w:rPr>
        <w:t>Securing Senior Leadership Support</w:t>
      </w:r>
    </w:p>
    <w:p w:rsidR="00871991" w:rsidRPr="001172CC" w:rsidRDefault="009B6CE5" w:rsidP="0087199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Gain e</w:t>
      </w:r>
      <w:r w:rsidR="00871991" w:rsidRPr="001172CC">
        <w:rPr>
          <w:sz w:val="22"/>
          <w:szCs w:val="22"/>
        </w:rPr>
        <w:t>xplicit support of key senior leader(s)</w:t>
      </w:r>
      <w:r w:rsidR="00592507" w:rsidRPr="001172CC">
        <w:rPr>
          <w:sz w:val="22"/>
          <w:szCs w:val="22"/>
        </w:rPr>
        <w:t xml:space="preserve"> </w:t>
      </w:r>
      <w:r w:rsidRPr="001172CC">
        <w:rPr>
          <w:sz w:val="22"/>
          <w:szCs w:val="22"/>
        </w:rPr>
        <w:t xml:space="preserve">who are </w:t>
      </w:r>
      <w:r w:rsidR="00F67D4C" w:rsidRPr="001172CC">
        <w:rPr>
          <w:rFonts w:cs="Calibri"/>
          <w:sz w:val="22"/>
          <w:szCs w:val="22"/>
        </w:rPr>
        <w:t>in a position to develop long</w:t>
      </w:r>
      <w:r w:rsidR="001F0514" w:rsidRPr="001172CC">
        <w:rPr>
          <w:rFonts w:cs="Calibri"/>
          <w:sz w:val="22"/>
          <w:szCs w:val="22"/>
        </w:rPr>
        <w:t>-</w:t>
      </w:r>
      <w:r w:rsidR="00F67D4C" w:rsidRPr="001172CC">
        <w:rPr>
          <w:rFonts w:cs="Calibri"/>
          <w:sz w:val="22"/>
          <w:szCs w:val="22"/>
        </w:rPr>
        <w:t>range goals  and are willing to</w:t>
      </w:r>
      <w:r w:rsidR="00592507" w:rsidRPr="001172CC">
        <w:rPr>
          <w:sz w:val="22"/>
          <w:szCs w:val="22"/>
        </w:rPr>
        <w:t>:</w:t>
      </w:r>
    </w:p>
    <w:p w:rsidR="00871991" w:rsidRPr="001172CC" w:rsidRDefault="00EF5049" w:rsidP="0087199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P</w:t>
      </w:r>
      <w:r w:rsidR="00871991" w:rsidRPr="001172CC">
        <w:rPr>
          <w:sz w:val="22"/>
          <w:szCs w:val="22"/>
        </w:rPr>
        <w:t>ublicly and actively back the project</w:t>
      </w:r>
    </w:p>
    <w:p w:rsidR="00871991" w:rsidRPr="001172CC" w:rsidRDefault="00EF5049" w:rsidP="0087199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E</w:t>
      </w:r>
      <w:r w:rsidR="00871991" w:rsidRPr="001172CC">
        <w:rPr>
          <w:sz w:val="22"/>
          <w:szCs w:val="22"/>
        </w:rPr>
        <w:t>nsure dedicated time for the project</w:t>
      </w:r>
      <w:r w:rsidR="00592507" w:rsidRPr="001172CC">
        <w:rPr>
          <w:sz w:val="22"/>
          <w:szCs w:val="22"/>
        </w:rPr>
        <w:t xml:space="preserve"> fr</w:t>
      </w:r>
      <w:r w:rsidR="007A6C2B" w:rsidRPr="001172CC">
        <w:rPr>
          <w:sz w:val="22"/>
          <w:szCs w:val="22"/>
        </w:rPr>
        <w:t>om</w:t>
      </w:r>
      <w:r w:rsidR="00592507" w:rsidRPr="001172CC">
        <w:rPr>
          <w:sz w:val="22"/>
          <w:szCs w:val="22"/>
        </w:rPr>
        <w:t xml:space="preserve"> both administrative support and </w:t>
      </w:r>
      <w:r w:rsidR="007A6C2B" w:rsidRPr="001172CC">
        <w:rPr>
          <w:sz w:val="22"/>
          <w:szCs w:val="22"/>
        </w:rPr>
        <w:t xml:space="preserve">clinical transition </w:t>
      </w:r>
      <w:r w:rsidRPr="001172CC">
        <w:rPr>
          <w:sz w:val="22"/>
          <w:szCs w:val="22"/>
        </w:rPr>
        <w:t xml:space="preserve">improvement </w:t>
      </w:r>
      <w:r w:rsidR="00592507" w:rsidRPr="001172CC">
        <w:rPr>
          <w:sz w:val="22"/>
          <w:szCs w:val="22"/>
        </w:rPr>
        <w:t>team</w:t>
      </w:r>
      <w:r w:rsidR="00E4797C" w:rsidRPr="001172CC">
        <w:rPr>
          <w:sz w:val="22"/>
          <w:szCs w:val="22"/>
        </w:rPr>
        <w:t xml:space="preserve"> to </w:t>
      </w:r>
      <w:r w:rsidR="007A6C2B" w:rsidRPr="001172CC">
        <w:rPr>
          <w:sz w:val="22"/>
          <w:szCs w:val="22"/>
        </w:rPr>
        <w:t xml:space="preserve">pilot </w:t>
      </w:r>
      <w:r w:rsidR="00E4797C" w:rsidRPr="001172CC">
        <w:rPr>
          <w:sz w:val="22"/>
          <w:szCs w:val="22"/>
        </w:rPr>
        <w:t>incorporatin</w:t>
      </w:r>
      <w:r w:rsidR="007A6C2B" w:rsidRPr="001172CC">
        <w:rPr>
          <w:sz w:val="22"/>
          <w:szCs w:val="22"/>
        </w:rPr>
        <w:t>g</w:t>
      </w:r>
      <w:r w:rsidR="00E4797C" w:rsidRPr="001172CC">
        <w:rPr>
          <w:sz w:val="22"/>
          <w:szCs w:val="22"/>
        </w:rPr>
        <w:t xml:space="preserve"> the </w:t>
      </w:r>
      <w:r w:rsidR="007A6C2B" w:rsidRPr="001172CC">
        <w:rPr>
          <w:sz w:val="22"/>
          <w:szCs w:val="22"/>
        </w:rPr>
        <w:t>Six Core E</w:t>
      </w:r>
      <w:r w:rsidR="00E4797C" w:rsidRPr="001172CC">
        <w:rPr>
          <w:sz w:val="22"/>
          <w:szCs w:val="22"/>
        </w:rPr>
        <w:t>lement tools in</w:t>
      </w:r>
      <w:r w:rsidR="007A6C2B" w:rsidRPr="001172CC">
        <w:rPr>
          <w:sz w:val="22"/>
          <w:szCs w:val="22"/>
        </w:rPr>
        <w:t>to</w:t>
      </w:r>
      <w:r w:rsidR="00E4797C" w:rsidRPr="001172CC">
        <w:rPr>
          <w:sz w:val="22"/>
          <w:szCs w:val="22"/>
        </w:rPr>
        <w:t xml:space="preserve"> the clinic process</w:t>
      </w:r>
    </w:p>
    <w:p w:rsidR="00E4797C" w:rsidRPr="001172CC" w:rsidRDefault="00EF5049" w:rsidP="0087199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 xml:space="preserve">Ensure </w:t>
      </w:r>
      <w:r w:rsidR="00E4797C" w:rsidRPr="001172CC">
        <w:rPr>
          <w:sz w:val="22"/>
          <w:szCs w:val="22"/>
        </w:rPr>
        <w:t>availability of resources</w:t>
      </w:r>
      <w:r w:rsidR="007A6C2B" w:rsidRPr="001172CC">
        <w:rPr>
          <w:sz w:val="22"/>
          <w:szCs w:val="22"/>
        </w:rPr>
        <w:t>,</w:t>
      </w:r>
      <w:r w:rsidR="00E4797C" w:rsidRPr="001172CC">
        <w:rPr>
          <w:sz w:val="22"/>
          <w:szCs w:val="22"/>
        </w:rPr>
        <w:t xml:space="preserve"> such as health information technology</w:t>
      </w:r>
    </w:p>
    <w:p w:rsidR="007A6C2B" w:rsidRPr="001172CC" w:rsidRDefault="00EF5049" w:rsidP="007A6C2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 xml:space="preserve">Align </w:t>
      </w:r>
      <w:r w:rsidR="007A6C2B" w:rsidRPr="001172CC">
        <w:rPr>
          <w:sz w:val="22"/>
          <w:szCs w:val="22"/>
        </w:rPr>
        <w:t>with other strategic activities</w:t>
      </w:r>
    </w:p>
    <w:p w:rsidR="00871991" w:rsidRPr="001172CC" w:rsidRDefault="00EF5049" w:rsidP="0087199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Endorse</w:t>
      </w:r>
      <w:r w:rsidR="00087386" w:rsidRPr="001172CC">
        <w:rPr>
          <w:sz w:val="22"/>
          <w:szCs w:val="22"/>
        </w:rPr>
        <w:t>/guide</w:t>
      </w:r>
      <w:r w:rsidR="00871991" w:rsidRPr="001172CC">
        <w:rPr>
          <w:sz w:val="22"/>
          <w:szCs w:val="22"/>
        </w:rPr>
        <w:t xml:space="preserve"> expansion from pilot to full scope</w:t>
      </w:r>
    </w:p>
    <w:p w:rsidR="00871991" w:rsidRPr="001172CC" w:rsidRDefault="00EF5049" w:rsidP="0087199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C</w:t>
      </w:r>
      <w:r w:rsidR="00871991" w:rsidRPr="001172CC">
        <w:rPr>
          <w:sz w:val="22"/>
          <w:szCs w:val="22"/>
        </w:rPr>
        <w:t>ommunicate with senior leader counterparts when needed</w:t>
      </w:r>
      <w:r w:rsidR="002C1CC4" w:rsidRPr="001172CC">
        <w:rPr>
          <w:sz w:val="22"/>
          <w:szCs w:val="22"/>
        </w:rPr>
        <w:t xml:space="preserve"> (e.g. between pediatric and adult institutions or settings)</w:t>
      </w:r>
    </w:p>
    <w:p w:rsidR="003629CD" w:rsidRPr="001172CC" w:rsidRDefault="003629CD" w:rsidP="00310A17">
      <w:pPr>
        <w:rPr>
          <w:sz w:val="22"/>
          <w:szCs w:val="22"/>
        </w:rPr>
      </w:pPr>
    </w:p>
    <w:p w:rsidR="00E36893" w:rsidRPr="001172CC" w:rsidRDefault="00BF09EE" w:rsidP="00E36893">
      <w:pPr>
        <w:rPr>
          <w:sz w:val="22"/>
          <w:szCs w:val="22"/>
        </w:rPr>
      </w:pPr>
      <w:r w:rsidRPr="001172CC">
        <w:rPr>
          <w:b/>
          <w:color w:val="365F91" w:themeColor="accent1" w:themeShade="BF"/>
          <w:sz w:val="22"/>
          <w:szCs w:val="22"/>
        </w:rPr>
        <w:t xml:space="preserve">Step 4: </w:t>
      </w:r>
      <w:r w:rsidR="00E36893" w:rsidRPr="001172CC">
        <w:rPr>
          <w:b/>
          <w:color w:val="365F91" w:themeColor="accent1" w:themeShade="BF"/>
          <w:sz w:val="22"/>
          <w:szCs w:val="22"/>
        </w:rPr>
        <w:t xml:space="preserve">Dedicating Time to Implement Transition </w:t>
      </w:r>
      <w:r w:rsidR="00EF5049" w:rsidRPr="001172CC">
        <w:rPr>
          <w:b/>
          <w:color w:val="365F91" w:themeColor="accent1" w:themeShade="BF"/>
          <w:sz w:val="22"/>
          <w:szCs w:val="22"/>
        </w:rPr>
        <w:t xml:space="preserve">Improvements </w:t>
      </w:r>
    </w:p>
    <w:p w:rsidR="00592507" w:rsidRPr="001172CC" w:rsidRDefault="009B6CE5" w:rsidP="007A6C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 xml:space="preserve">Schedule </w:t>
      </w:r>
      <w:r w:rsidR="00BD1468" w:rsidRPr="001172CC">
        <w:rPr>
          <w:sz w:val="22"/>
          <w:szCs w:val="22"/>
        </w:rPr>
        <w:t>r</w:t>
      </w:r>
      <w:r w:rsidRPr="001172CC">
        <w:rPr>
          <w:sz w:val="22"/>
          <w:szCs w:val="22"/>
        </w:rPr>
        <w:t>egular meetings</w:t>
      </w:r>
      <w:r w:rsidR="00E4797C" w:rsidRPr="001172CC">
        <w:rPr>
          <w:sz w:val="22"/>
          <w:szCs w:val="22"/>
        </w:rPr>
        <w:t xml:space="preserve"> f</w:t>
      </w:r>
      <w:r w:rsidR="007A6C2B" w:rsidRPr="001172CC">
        <w:rPr>
          <w:sz w:val="22"/>
          <w:szCs w:val="22"/>
        </w:rPr>
        <w:t>or</w:t>
      </w:r>
      <w:r w:rsidR="00E4797C" w:rsidRPr="001172CC">
        <w:rPr>
          <w:sz w:val="22"/>
          <w:szCs w:val="22"/>
        </w:rPr>
        <w:t xml:space="preserve"> the </w:t>
      </w:r>
      <w:r w:rsidRPr="001172CC">
        <w:rPr>
          <w:sz w:val="22"/>
          <w:szCs w:val="22"/>
        </w:rPr>
        <w:t xml:space="preserve">transition </w:t>
      </w:r>
      <w:r w:rsidR="00E4797C" w:rsidRPr="001172CC">
        <w:rPr>
          <w:sz w:val="22"/>
          <w:szCs w:val="22"/>
        </w:rPr>
        <w:t>team</w:t>
      </w:r>
    </w:p>
    <w:p w:rsidR="00871991" w:rsidRPr="001172CC" w:rsidRDefault="00871991" w:rsidP="0087199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Use eff</w:t>
      </w:r>
      <w:r w:rsidR="007A6C2B" w:rsidRPr="001172CC">
        <w:rPr>
          <w:sz w:val="22"/>
          <w:szCs w:val="22"/>
        </w:rPr>
        <w:t>i</w:t>
      </w:r>
      <w:r w:rsidRPr="001172CC">
        <w:rPr>
          <w:sz w:val="22"/>
          <w:szCs w:val="22"/>
        </w:rPr>
        <w:t>c</w:t>
      </w:r>
      <w:r w:rsidR="007A6C2B" w:rsidRPr="001172CC">
        <w:rPr>
          <w:sz w:val="22"/>
          <w:szCs w:val="22"/>
        </w:rPr>
        <w:t>ient</w:t>
      </w:r>
      <w:r w:rsidRPr="001172CC">
        <w:rPr>
          <w:sz w:val="22"/>
          <w:szCs w:val="22"/>
        </w:rPr>
        <w:t xml:space="preserve"> meeting techniques</w:t>
      </w:r>
      <w:r w:rsidR="00BF09EE" w:rsidRPr="001172CC">
        <w:rPr>
          <w:sz w:val="22"/>
          <w:szCs w:val="22"/>
        </w:rPr>
        <w:t xml:space="preserve"> so participants feel their time is well used</w:t>
      </w:r>
    </w:p>
    <w:p w:rsidR="00871991" w:rsidRPr="001172CC" w:rsidRDefault="00871991" w:rsidP="0087199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Meet twice monthly or more at start</w:t>
      </w:r>
      <w:r w:rsidR="00BF09EE" w:rsidRPr="001172CC">
        <w:rPr>
          <w:sz w:val="22"/>
          <w:szCs w:val="22"/>
        </w:rPr>
        <w:t xml:space="preserve"> to jump start the charter and improvement process</w:t>
      </w:r>
    </w:p>
    <w:p w:rsidR="0016719B" w:rsidRPr="001172CC" w:rsidRDefault="0016719B" w:rsidP="0087199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 xml:space="preserve">Adopt a clear methodology for </w:t>
      </w:r>
      <w:r w:rsidR="00C20E14" w:rsidRPr="001172CC">
        <w:rPr>
          <w:sz w:val="22"/>
          <w:szCs w:val="22"/>
        </w:rPr>
        <w:t xml:space="preserve">the </w:t>
      </w:r>
      <w:r w:rsidRPr="001172CC">
        <w:rPr>
          <w:sz w:val="22"/>
          <w:szCs w:val="22"/>
        </w:rPr>
        <w:t>change</w:t>
      </w:r>
      <w:r w:rsidR="00C20E14" w:rsidRPr="001172CC">
        <w:rPr>
          <w:sz w:val="22"/>
          <w:szCs w:val="22"/>
        </w:rPr>
        <w:t xml:space="preserve"> or improvement process</w:t>
      </w:r>
      <w:r w:rsidRPr="001172CC">
        <w:rPr>
          <w:sz w:val="22"/>
          <w:szCs w:val="22"/>
        </w:rPr>
        <w:t xml:space="preserve"> (e.g. use of PDSA rapid cycles)</w:t>
      </w:r>
    </w:p>
    <w:p w:rsidR="00871991" w:rsidRPr="001172CC" w:rsidRDefault="00592507" w:rsidP="0087199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 xml:space="preserve">Be sure everyone on the team </w:t>
      </w:r>
      <w:r w:rsidR="00087386" w:rsidRPr="001172CC">
        <w:rPr>
          <w:sz w:val="22"/>
          <w:szCs w:val="22"/>
        </w:rPr>
        <w:t xml:space="preserve">understands and </w:t>
      </w:r>
      <w:r w:rsidRPr="001172CC">
        <w:rPr>
          <w:sz w:val="22"/>
          <w:szCs w:val="22"/>
        </w:rPr>
        <w:t xml:space="preserve">buys into </w:t>
      </w:r>
      <w:r w:rsidR="007A6C2B" w:rsidRPr="001172CC">
        <w:rPr>
          <w:sz w:val="22"/>
          <w:szCs w:val="22"/>
        </w:rPr>
        <w:t>the transition charter</w:t>
      </w:r>
    </w:p>
    <w:p w:rsidR="00087386" w:rsidRPr="001172CC" w:rsidRDefault="001F0514" w:rsidP="0087199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 xml:space="preserve">Collect </w:t>
      </w:r>
      <w:r w:rsidR="004C72BB" w:rsidRPr="001172CC">
        <w:rPr>
          <w:sz w:val="22"/>
          <w:szCs w:val="22"/>
        </w:rPr>
        <w:t>and share</w:t>
      </w:r>
      <w:r w:rsidR="00EF5049" w:rsidRPr="001172CC">
        <w:rPr>
          <w:sz w:val="22"/>
          <w:szCs w:val="22"/>
        </w:rPr>
        <w:t xml:space="preserve"> </w:t>
      </w:r>
      <w:r w:rsidRPr="001172CC">
        <w:rPr>
          <w:sz w:val="22"/>
          <w:szCs w:val="22"/>
        </w:rPr>
        <w:t>reg</w:t>
      </w:r>
      <w:r w:rsidR="00BD1468" w:rsidRPr="001172CC">
        <w:rPr>
          <w:sz w:val="22"/>
          <w:szCs w:val="22"/>
        </w:rPr>
        <w:t xml:space="preserve">ular </w:t>
      </w:r>
      <w:r w:rsidR="00EF5049" w:rsidRPr="001172CC">
        <w:rPr>
          <w:sz w:val="22"/>
          <w:szCs w:val="22"/>
        </w:rPr>
        <w:t xml:space="preserve">improvement </w:t>
      </w:r>
      <w:r w:rsidR="00BD1468" w:rsidRPr="001172CC">
        <w:rPr>
          <w:sz w:val="22"/>
          <w:szCs w:val="22"/>
        </w:rPr>
        <w:t xml:space="preserve">feedback </w:t>
      </w:r>
      <w:r w:rsidR="00EF5049" w:rsidRPr="001172CC">
        <w:rPr>
          <w:sz w:val="22"/>
          <w:szCs w:val="22"/>
        </w:rPr>
        <w:t xml:space="preserve">and data collected </w:t>
      </w:r>
      <w:r w:rsidRPr="001172CC">
        <w:rPr>
          <w:sz w:val="22"/>
          <w:szCs w:val="22"/>
        </w:rPr>
        <w:t>with all team members</w:t>
      </w:r>
    </w:p>
    <w:p w:rsidR="00701BEA" w:rsidRPr="001172CC" w:rsidRDefault="00701BEA" w:rsidP="0087199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 xml:space="preserve">Consider how the process can be </w:t>
      </w:r>
      <w:r w:rsidR="004C72BB" w:rsidRPr="001172CC">
        <w:rPr>
          <w:sz w:val="22"/>
          <w:szCs w:val="22"/>
        </w:rPr>
        <w:t>enhanced by</w:t>
      </w:r>
      <w:r w:rsidRPr="001172CC">
        <w:rPr>
          <w:sz w:val="22"/>
          <w:szCs w:val="22"/>
        </w:rPr>
        <w:t xml:space="preserve"> EHR improvements</w:t>
      </w:r>
      <w:r w:rsidR="009B6CE5" w:rsidRPr="001172CC">
        <w:rPr>
          <w:sz w:val="22"/>
          <w:szCs w:val="22"/>
        </w:rPr>
        <w:t xml:space="preserve">. </w:t>
      </w:r>
      <w:r w:rsidR="001F0514" w:rsidRPr="001172CC">
        <w:rPr>
          <w:sz w:val="22"/>
          <w:szCs w:val="22"/>
        </w:rPr>
        <w:t xml:space="preserve"> However, e</w:t>
      </w:r>
      <w:r w:rsidR="009B6CE5" w:rsidRPr="001172CC">
        <w:rPr>
          <w:sz w:val="22"/>
          <w:szCs w:val="22"/>
        </w:rPr>
        <w:t xml:space="preserve">ven if all the transition tools are available in the EHR, </w:t>
      </w:r>
      <w:r w:rsidR="001F0514" w:rsidRPr="001172CC">
        <w:rPr>
          <w:sz w:val="22"/>
          <w:szCs w:val="22"/>
        </w:rPr>
        <w:t>busy pr</w:t>
      </w:r>
      <w:r w:rsidR="009B6CE5" w:rsidRPr="001172CC">
        <w:rPr>
          <w:sz w:val="22"/>
          <w:szCs w:val="22"/>
        </w:rPr>
        <w:t>oviders may ignore them unless they have bee</w:t>
      </w:r>
      <w:r w:rsidR="00BD1468" w:rsidRPr="001172CC">
        <w:rPr>
          <w:sz w:val="22"/>
          <w:szCs w:val="22"/>
        </w:rPr>
        <w:t>n a part of the process and buy-</w:t>
      </w:r>
      <w:r w:rsidR="009B6CE5" w:rsidRPr="001172CC">
        <w:rPr>
          <w:sz w:val="22"/>
          <w:szCs w:val="22"/>
        </w:rPr>
        <w:t>in to their usefulness</w:t>
      </w:r>
    </w:p>
    <w:p w:rsidR="007B7C93" w:rsidRPr="001172CC" w:rsidRDefault="007B7C93" w:rsidP="007B7C93">
      <w:pPr>
        <w:rPr>
          <w:b/>
          <w:color w:val="365F91" w:themeColor="accent1" w:themeShade="BF"/>
          <w:sz w:val="22"/>
          <w:szCs w:val="22"/>
        </w:rPr>
      </w:pPr>
    </w:p>
    <w:p w:rsidR="003629CD" w:rsidRPr="001172CC" w:rsidRDefault="007B7C93" w:rsidP="007A6C2B">
      <w:pPr>
        <w:rPr>
          <w:sz w:val="22"/>
          <w:szCs w:val="22"/>
        </w:rPr>
      </w:pPr>
      <w:r w:rsidRPr="001172CC">
        <w:rPr>
          <w:b/>
          <w:color w:val="365F91" w:themeColor="accent1" w:themeShade="BF"/>
          <w:sz w:val="22"/>
          <w:szCs w:val="22"/>
        </w:rPr>
        <w:t>Tips for Success</w:t>
      </w:r>
    </w:p>
    <w:p w:rsidR="00871991" w:rsidRPr="001172CC" w:rsidRDefault="00E4797C" w:rsidP="007A6C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Tips for success</w:t>
      </w:r>
    </w:p>
    <w:p w:rsidR="004C72BB" w:rsidRPr="001172CC" w:rsidRDefault="00871991" w:rsidP="007A6C2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 xml:space="preserve">Don’t reinvent </w:t>
      </w:r>
      <w:r w:rsidR="00EF5049" w:rsidRPr="001172CC">
        <w:rPr>
          <w:sz w:val="22"/>
          <w:szCs w:val="22"/>
        </w:rPr>
        <w:t>the wheel</w:t>
      </w:r>
      <w:r w:rsidR="004C72BB" w:rsidRPr="001172CC">
        <w:rPr>
          <w:sz w:val="22"/>
          <w:szCs w:val="22"/>
        </w:rPr>
        <w:t>:</w:t>
      </w:r>
    </w:p>
    <w:p w:rsidR="00871991" w:rsidRPr="001172CC" w:rsidRDefault="004C72BB" w:rsidP="004C72B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 xml:space="preserve">Connect with other transition improvement efforts regionally </w:t>
      </w:r>
      <w:r w:rsidR="007A4796" w:rsidRPr="001172CC">
        <w:rPr>
          <w:sz w:val="22"/>
          <w:szCs w:val="22"/>
        </w:rPr>
        <w:t>and/</w:t>
      </w:r>
      <w:r w:rsidRPr="001172CC">
        <w:rPr>
          <w:sz w:val="22"/>
          <w:szCs w:val="22"/>
        </w:rPr>
        <w:t>or nationally to learn and share best practices</w:t>
      </w:r>
    </w:p>
    <w:p w:rsidR="001172CC" w:rsidRDefault="007A6C2B" w:rsidP="001172C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 xml:space="preserve">Review </w:t>
      </w:r>
      <w:r w:rsidR="00592507" w:rsidRPr="001172CC">
        <w:rPr>
          <w:sz w:val="22"/>
          <w:szCs w:val="22"/>
        </w:rPr>
        <w:t xml:space="preserve">each </w:t>
      </w:r>
      <w:r w:rsidR="00295218" w:rsidRPr="001172CC">
        <w:rPr>
          <w:sz w:val="22"/>
          <w:szCs w:val="22"/>
        </w:rPr>
        <w:t xml:space="preserve">of the six core </w:t>
      </w:r>
      <w:r w:rsidRPr="001172CC">
        <w:rPr>
          <w:sz w:val="22"/>
          <w:szCs w:val="22"/>
        </w:rPr>
        <w:t>element</w:t>
      </w:r>
      <w:r w:rsidR="00295218" w:rsidRPr="001172CC">
        <w:rPr>
          <w:sz w:val="22"/>
          <w:szCs w:val="22"/>
        </w:rPr>
        <w:t>s</w:t>
      </w:r>
      <w:r w:rsidR="00592507" w:rsidRPr="001172CC">
        <w:rPr>
          <w:sz w:val="22"/>
          <w:szCs w:val="22"/>
        </w:rPr>
        <w:t>: do</w:t>
      </w:r>
      <w:r w:rsidR="00295218" w:rsidRPr="001172CC">
        <w:rPr>
          <w:sz w:val="22"/>
          <w:szCs w:val="22"/>
        </w:rPr>
        <w:t xml:space="preserve"> </w:t>
      </w:r>
      <w:r w:rsidR="00EF5049" w:rsidRPr="001172CC">
        <w:rPr>
          <w:sz w:val="22"/>
          <w:szCs w:val="22"/>
        </w:rPr>
        <w:t xml:space="preserve">you </w:t>
      </w:r>
      <w:r w:rsidR="00592507" w:rsidRPr="001172CC">
        <w:rPr>
          <w:sz w:val="22"/>
          <w:szCs w:val="22"/>
        </w:rPr>
        <w:t xml:space="preserve">need </w:t>
      </w:r>
      <w:r w:rsidR="00EF5049" w:rsidRPr="001172CC">
        <w:rPr>
          <w:sz w:val="22"/>
          <w:szCs w:val="22"/>
        </w:rPr>
        <w:t>to customize</w:t>
      </w:r>
      <w:r w:rsidR="00592507" w:rsidRPr="001172CC">
        <w:rPr>
          <w:sz w:val="22"/>
          <w:szCs w:val="22"/>
        </w:rPr>
        <w:t xml:space="preserve">? </w:t>
      </w:r>
    </w:p>
    <w:p w:rsidR="001172CC" w:rsidRDefault="00295218" w:rsidP="001172C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B</w:t>
      </w:r>
      <w:r w:rsidR="00592507" w:rsidRPr="001172CC">
        <w:rPr>
          <w:sz w:val="22"/>
          <w:szCs w:val="22"/>
        </w:rPr>
        <w:t xml:space="preserve">e sure the </w:t>
      </w:r>
      <w:r w:rsidRPr="001172CC">
        <w:rPr>
          <w:sz w:val="22"/>
          <w:szCs w:val="22"/>
        </w:rPr>
        <w:t xml:space="preserve">tools for each of the </w:t>
      </w:r>
      <w:r w:rsidR="00592507" w:rsidRPr="001172CC">
        <w:rPr>
          <w:sz w:val="22"/>
          <w:szCs w:val="22"/>
        </w:rPr>
        <w:t>core element</w:t>
      </w:r>
      <w:r w:rsidRPr="001172CC">
        <w:rPr>
          <w:sz w:val="22"/>
          <w:szCs w:val="22"/>
        </w:rPr>
        <w:t>s</w:t>
      </w:r>
      <w:r w:rsidR="00592507" w:rsidRPr="001172CC">
        <w:rPr>
          <w:sz w:val="22"/>
          <w:szCs w:val="22"/>
        </w:rPr>
        <w:t xml:space="preserve"> go through a</w:t>
      </w:r>
      <w:r w:rsidR="001172CC" w:rsidRPr="001172CC">
        <w:rPr>
          <w:sz w:val="22"/>
          <w:szCs w:val="22"/>
        </w:rPr>
        <w:t xml:space="preserve"> quality </w:t>
      </w:r>
      <w:r w:rsidR="00087386" w:rsidRPr="001172CC">
        <w:rPr>
          <w:sz w:val="22"/>
          <w:szCs w:val="22"/>
        </w:rPr>
        <w:t xml:space="preserve">improvement </w:t>
      </w:r>
      <w:r w:rsidR="00701BEA" w:rsidRPr="001172CC">
        <w:rPr>
          <w:sz w:val="22"/>
          <w:szCs w:val="22"/>
        </w:rPr>
        <w:t>process</w:t>
      </w:r>
      <w:r w:rsidR="00087386" w:rsidRPr="001172CC">
        <w:rPr>
          <w:sz w:val="22"/>
          <w:szCs w:val="22"/>
        </w:rPr>
        <w:t xml:space="preserve">: </w:t>
      </w:r>
      <w:r w:rsidR="00701BEA" w:rsidRPr="001172CC">
        <w:rPr>
          <w:sz w:val="22"/>
          <w:szCs w:val="22"/>
        </w:rPr>
        <w:t>plan/do/study/</w:t>
      </w:r>
      <w:r w:rsidR="00592507" w:rsidRPr="001172CC">
        <w:rPr>
          <w:sz w:val="22"/>
          <w:szCs w:val="22"/>
        </w:rPr>
        <w:t xml:space="preserve">act </w:t>
      </w:r>
      <w:r w:rsidR="00E4797C" w:rsidRPr="001172CC">
        <w:rPr>
          <w:sz w:val="22"/>
          <w:szCs w:val="22"/>
        </w:rPr>
        <w:t xml:space="preserve">(PDSA) </w:t>
      </w:r>
      <w:r w:rsidR="00701BEA" w:rsidRPr="001172CC">
        <w:rPr>
          <w:sz w:val="22"/>
          <w:szCs w:val="22"/>
        </w:rPr>
        <w:t>cycle</w:t>
      </w:r>
      <w:r w:rsidR="00592507" w:rsidRPr="001172CC">
        <w:rPr>
          <w:sz w:val="22"/>
          <w:szCs w:val="22"/>
        </w:rPr>
        <w:t xml:space="preserve"> t</w:t>
      </w:r>
      <w:r w:rsidR="00701BEA" w:rsidRPr="001172CC">
        <w:rPr>
          <w:sz w:val="22"/>
          <w:szCs w:val="22"/>
        </w:rPr>
        <w:t>o be sure</w:t>
      </w:r>
      <w:r w:rsidR="001172CC">
        <w:rPr>
          <w:sz w:val="22"/>
          <w:szCs w:val="22"/>
        </w:rPr>
        <w:t xml:space="preserve"> </w:t>
      </w:r>
      <w:r w:rsidR="00701BEA" w:rsidRPr="001172CC">
        <w:rPr>
          <w:sz w:val="22"/>
          <w:szCs w:val="22"/>
        </w:rPr>
        <w:t>the staff, families</w:t>
      </w:r>
      <w:r w:rsidRPr="001172CC">
        <w:rPr>
          <w:sz w:val="22"/>
          <w:szCs w:val="22"/>
        </w:rPr>
        <w:t>,</w:t>
      </w:r>
      <w:r w:rsidR="00701BEA" w:rsidRPr="001172CC">
        <w:rPr>
          <w:sz w:val="22"/>
          <w:szCs w:val="22"/>
        </w:rPr>
        <w:t xml:space="preserve"> and youth</w:t>
      </w:r>
      <w:r w:rsidR="00592507" w:rsidRPr="001172CC">
        <w:rPr>
          <w:sz w:val="22"/>
          <w:szCs w:val="22"/>
        </w:rPr>
        <w:t xml:space="preserve"> have a chance to review</w:t>
      </w:r>
      <w:r w:rsidR="00087386" w:rsidRPr="001172CC">
        <w:rPr>
          <w:sz w:val="22"/>
          <w:szCs w:val="22"/>
        </w:rPr>
        <w:t>, “try out</w:t>
      </w:r>
      <w:r w:rsidRPr="001172CC">
        <w:rPr>
          <w:sz w:val="22"/>
          <w:szCs w:val="22"/>
        </w:rPr>
        <w:t>,</w:t>
      </w:r>
      <w:r w:rsidR="00087386" w:rsidRPr="001172CC">
        <w:rPr>
          <w:sz w:val="22"/>
          <w:szCs w:val="22"/>
        </w:rPr>
        <w:t>”</w:t>
      </w:r>
      <w:r w:rsidRPr="001172CC">
        <w:rPr>
          <w:sz w:val="22"/>
          <w:szCs w:val="22"/>
        </w:rPr>
        <w:t xml:space="preserve"> </w:t>
      </w:r>
      <w:r w:rsidR="00592507" w:rsidRPr="001172CC">
        <w:rPr>
          <w:sz w:val="22"/>
          <w:szCs w:val="22"/>
        </w:rPr>
        <w:t>make</w:t>
      </w:r>
      <w:r w:rsidR="001172CC">
        <w:rPr>
          <w:sz w:val="22"/>
          <w:szCs w:val="22"/>
        </w:rPr>
        <w:t xml:space="preserve"> </w:t>
      </w:r>
      <w:r w:rsidR="00592507" w:rsidRPr="001172CC">
        <w:rPr>
          <w:sz w:val="22"/>
          <w:szCs w:val="22"/>
        </w:rPr>
        <w:t>changes</w:t>
      </w:r>
      <w:r w:rsidRPr="001172CC">
        <w:rPr>
          <w:sz w:val="22"/>
          <w:szCs w:val="22"/>
        </w:rPr>
        <w:t>,</w:t>
      </w:r>
      <w:r w:rsidR="00701BEA" w:rsidRPr="001172CC">
        <w:rPr>
          <w:sz w:val="22"/>
          <w:szCs w:val="22"/>
        </w:rPr>
        <w:t xml:space="preserve"> and approve</w:t>
      </w:r>
    </w:p>
    <w:p w:rsidR="00E4797C" w:rsidRPr="001172CC" w:rsidRDefault="00295218" w:rsidP="001172C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P</w:t>
      </w:r>
      <w:r w:rsidR="003629CD" w:rsidRPr="001172CC">
        <w:rPr>
          <w:sz w:val="22"/>
          <w:szCs w:val="22"/>
        </w:rPr>
        <w:t>lan</w:t>
      </w:r>
      <w:r w:rsidR="00E4797C" w:rsidRPr="001172CC">
        <w:rPr>
          <w:sz w:val="22"/>
          <w:szCs w:val="22"/>
        </w:rPr>
        <w:t xml:space="preserve"> how to incorporate tools into clinic work flow and test in a</w:t>
      </w:r>
      <w:r w:rsidR="001172CC">
        <w:rPr>
          <w:sz w:val="22"/>
          <w:szCs w:val="22"/>
        </w:rPr>
        <w:t xml:space="preserve"> </w:t>
      </w:r>
      <w:r w:rsidR="00E4797C" w:rsidRPr="001172CC">
        <w:rPr>
          <w:sz w:val="22"/>
          <w:szCs w:val="22"/>
        </w:rPr>
        <w:t>similar PDSA cycle process</w:t>
      </w:r>
      <w:r w:rsidR="00EF5049" w:rsidRPr="001172CC">
        <w:rPr>
          <w:sz w:val="22"/>
          <w:szCs w:val="22"/>
        </w:rPr>
        <w:t>,</w:t>
      </w:r>
      <w:r w:rsidR="00E4797C" w:rsidRPr="001172CC">
        <w:rPr>
          <w:sz w:val="22"/>
          <w:szCs w:val="22"/>
        </w:rPr>
        <w:t xml:space="preserve"> as above</w:t>
      </w:r>
      <w:r w:rsidR="00EF5049" w:rsidRPr="001172CC">
        <w:rPr>
          <w:sz w:val="22"/>
          <w:szCs w:val="22"/>
        </w:rPr>
        <w:t>,</w:t>
      </w:r>
      <w:r w:rsidR="00B9201D" w:rsidRPr="001172CC">
        <w:rPr>
          <w:sz w:val="22"/>
          <w:szCs w:val="22"/>
        </w:rPr>
        <w:t xml:space="preserve"> so that if the provider champion</w:t>
      </w:r>
      <w:r w:rsidR="001172CC">
        <w:rPr>
          <w:sz w:val="22"/>
          <w:szCs w:val="22"/>
        </w:rPr>
        <w:t xml:space="preserve"> </w:t>
      </w:r>
      <w:r w:rsidR="00B9201D" w:rsidRPr="001172CC">
        <w:rPr>
          <w:sz w:val="22"/>
          <w:szCs w:val="22"/>
        </w:rPr>
        <w:t>is not there, the transition process</w:t>
      </w:r>
      <w:r w:rsidR="00EF5049" w:rsidRPr="001172CC">
        <w:rPr>
          <w:sz w:val="22"/>
          <w:szCs w:val="22"/>
        </w:rPr>
        <w:t xml:space="preserve"> still </w:t>
      </w:r>
      <w:r w:rsidR="00B9201D" w:rsidRPr="001172CC">
        <w:rPr>
          <w:sz w:val="22"/>
          <w:szCs w:val="22"/>
        </w:rPr>
        <w:t xml:space="preserve"> moves forward</w:t>
      </w:r>
    </w:p>
    <w:p w:rsidR="00A334DE" w:rsidRPr="001172CC" w:rsidRDefault="00A334DE" w:rsidP="00A334D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Discuss</w:t>
      </w:r>
      <w:r w:rsidR="00295218" w:rsidRPr="001172CC">
        <w:rPr>
          <w:sz w:val="22"/>
          <w:szCs w:val="22"/>
        </w:rPr>
        <w:t xml:space="preserve"> and clearly </w:t>
      </w:r>
      <w:r w:rsidR="003629CD" w:rsidRPr="001172CC">
        <w:rPr>
          <w:sz w:val="22"/>
          <w:szCs w:val="22"/>
        </w:rPr>
        <w:t>a</w:t>
      </w:r>
      <w:r w:rsidRPr="001172CC">
        <w:rPr>
          <w:sz w:val="22"/>
          <w:szCs w:val="22"/>
        </w:rPr>
        <w:t xml:space="preserve">rticulate roles of pediatric and adult provider teams </w:t>
      </w:r>
    </w:p>
    <w:p w:rsidR="00B9201D" w:rsidRPr="001172CC" w:rsidRDefault="00871991" w:rsidP="0029521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Start with manageable scale</w:t>
      </w:r>
      <w:r w:rsidR="00F67D4C" w:rsidRPr="001172CC">
        <w:rPr>
          <w:sz w:val="22"/>
          <w:szCs w:val="22"/>
        </w:rPr>
        <w:t xml:space="preserve"> (</w:t>
      </w:r>
      <w:r w:rsidR="001172CC" w:rsidRPr="001172CC">
        <w:rPr>
          <w:sz w:val="22"/>
          <w:szCs w:val="22"/>
        </w:rPr>
        <w:t>e.g.</w:t>
      </w:r>
      <w:r w:rsidR="00F67D4C" w:rsidRPr="001172CC">
        <w:rPr>
          <w:sz w:val="22"/>
          <w:szCs w:val="22"/>
        </w:rPr>
        <w:t xml:space="preserve"> pilot the process changes first and then disseminate)</w:t>
      </w:r>
    </w:p>
    <w:p w:rsidR="00B9201D" w:rsidRPr="001172CC" w:rsidRDefault="00B9201D" w:rsidP="00B9201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Don’t start with tran</w:t>
      </w:r>
      <w:r w:rsidR="00BD1468" w:rsidRPr="001172CC">
        <w:rPr>
          <w:sz w:val="22"/>
          <w:szCs w:val="22"/>
        </w:rPr>
        <w:t>sitioning the most complex patients</w:t>
      </w:r>
      <w:r w:rsidRPr="001172CC">
        <w:rPr>
          <w:sz w:val="22"/>
          <w:szCs w:val="22"/>
        </w:rPr>
        <w:t xml:space="preserve"> – aim for early wins</w:t>
      </w:r>
      <w:r w:rsidR="00356609" w:rsidRPr="001172CC">
        <w:rPr>
          <w:sz w:val="22"/>
          <w:szCs w:val="22"/>
        </w:rPr>
        <w:t xml:space="preserve"> to test the process</w:t>
      </w:r>
    </w:p>
    <w:p w:rsidR="00BD1468" w:rsidRPr="001172CC" w:rsidRDefault="00B9201D" w:rsidP="001172C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Plan a process that starts early (ages 12-14), but also plan a fast track</w:t>
      </w:r>
      <w:r w:rsidR="001172CC">
        <w:rPr>
          <w:sz w:val="22"/>
          <w:szCs w:val="22"/>
        </w:rPr>
        <w:t xml:space="preserve"> </w:t>
      </w:r>
      <w:r w:rsidR="00EF5049" w:rsidRPr="001172CC">
        <w:rPr>
          <w:sz w:val="22"/>
          <w:szCs w:val="22"/>
        </w:rPr>
        <w:t>process</w:t>
      </w:r>
      <w:r w:rsidRPr="001172CC">
        <w:rPr>
          <w:sz w:val="22"/>
          <w:szCs w:val="22"/>
        </w:rPr>
        <w:t xml:space="preserve"> for “20 year olds” still in the pediatric system</w:t>
      </w:r>
    </w:p>
    <w:p w:rsidR="00871991" w:rsidRPr="001172CC" w:rsidRDefault="00BD1468" w:rsidP="00BD14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lastRenderedPageBreak/>
        <w:t xml:space="preserve">Follow the evaluation plan in the charter to track </w:t>
      </w:r>
      <w:r w:rsidR="007A4796" w:rsidRPr="001172CC">
        <w:rPr>
          <w:sz w:val="22"/>
          <w:szCs w:val="22"/>
        </w:rPr>
        <w:t xml:space="preserve">the transition project’s </w:t>
      </w:r>
      <w:r w:rsidRPr="001172CC">
        <w:rPr>
          <w:sz w:val="22"/>
          <w:szCs w:val="22"/>
        </w:rPr>
        <w:t>progress and impact</w:t>
      </w:r>
      <w:r w:rsidR="00871991" w:rsidRPr="001172CC">
        <w:rPr>
          <w:sz w:val="22"/>
          <w:szCs w:val="22"/>
        </w:rPr>
        <w:t xml:space="preserve"> </w:t>
      </w:r>
    </w:p>
    <w:p w:rsidR="00871991" w:rsidRPr="001172CC" w:rsidRDefault="00871991" w:rsidP="0029521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>Include plan for spread</w:t>
      </w:r>
      <w:r w:rsidR="0035026D" w:rsidRPr="001172CC">
        <w:rPr>
          <w:sz w:val="22"/>
          <w:szCs w:val="22"/>
        </w:rPr>
        <w:t>/</w:t>
      </w:r>
      <w:r w:rsidRPr="001172CC">
        <w:rPr>
          <w:sz w:val="22"/>
          <w:szCs w:val="22"/>
        </w:rPr>
        <w:t>dissemination</w:t>
      </w:r>
      <w:r w:rsidR="00B9201D" w:rsidRPr="001172CC">
        <w:rPr>
          <w:sz w:val="22"/>
          <w:szCs w:val="22"/>
        </w:rPr>
        <w:t xml:space="preserve"> once the initial pilot of the processes have</w:t>
      </w:r>
      <w:r w:rsidR="00356609" w:rsidRPr="001172CC">
        <w:rPr>
          <w:sz w:val="22"/>
          <w:szCs w:val="22"/>
        </w:rPr>
        <w:t xml:space="preserve"> been tried and found to be helpful</w:t>
      </w:r>
    </w:p>
    <w:p w:rsidR="003629CD" w:rsidRPr="001172CC" w:rsidRDefault="00871991" w:rsidP="0029521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2CC">
        <w:rPr>
          <w:sz w:val="22"/>
          <w:szCs w:val="22"/>
        </w:rPr>
        <w:t xml:space="preserve">Include </w:t>
      </w:r>
      <w:r w:rsidR="00295218" w:rsidRPr="001172CC">
        <w:rPr>
          <w:sz w:val="22"/>
          <w:szCs w:val="22"/>
        </w:rPr>
        <w:t>public relations and m</w:t>
      </w:r>
      <w:r w:rsidRPr="001172CC">
        <w:rPr>
          <w:sz w:val="22"/>
          <w:szCs w:val="22"/>
        </w:rPr>
        <w:t>arketi</w:t>
      </w:r>
      <w:r w:rsidR="00295218" w:rsidRPr="001172CC">
        <w:rPr>
          <w:sz w:val="22"/>
          <w:szCs w:val="22"/>
        </w:rPr>
        <w:t>ng strategy in participating organizations</w:t>
      </w:r>
    </w:p>
    <w:p w:rsidR="003629CD" w:rsidRDefault="003629CD" w:rsidP="004C72BB">
      <w:pPr>
        <w:ind w:left="1440"/>
        <w:contextualSpacing/>
        <w:rPr>
          <w:sz w:val="22"/>
          <w:szCs w:val="22"/>
        </w:rPr>
      </w:pPr>
    </w:p>
    <w:p w:rsidR="00BB53AA" w:rsidRDefault="00BB53AA" w:rsidP="004C72BB">
      <w:pPr>
        <w:ind w:left="1440"/>
        <w:contextualSpacing/>
        <w:rPr>
          <w:sz w:val="22"/>
          <w:szCs w:val="22"/>
        </w:rPr>
      </w:pPr>
    </w:p>
    <w:p w:rsidR="00BB53AA" w:rsidRDefault="00BB53AA" w:rsidP="00D22508">
      <w:pPr>
        <w:ind w:left="720" w:hanging="90"/>
        <w:contextualSpacing/>
        <w:jc w:val="center"/>
        <w:rPr>
          <w:sz w:val="22"/>
          <w:szCs w:val="22"/>
        </w:rPr>
      </w:pPr>
      <w:r w:rsidRPr="00D22508">
        <w:rPr>
          <w:sz w:val="22"/>
          <w:szCs w:val="22"/>
        </w:rPr>
        <w:t xml:space="preserve">For questions, please contact Patience White, MD, </w:t>
      </w:r>
      <w:proofErr w:type="gramStart"/>
      <w:r w:rsidRPr="00D22508">
        <w:rPr>
          <w:sz w:val="22"/>
          <w:szCs w:val="22"/>
        </w:rPr>
        <w:t>MA</w:t>
      </w:r>
      <w:proofErr w:type="gramEnd"/>
      <w:r w:rsidRPr="00D22508">
        <w:rPr>
          <w:sz w:val="22"/>
          <w:szCs w:val="22"/>
        </w:rPr>
        <w:t xml:space="preserve"> at </w:t>
      </w:r>
      <w:hyperlink r:id="rId12" w:history="1">
        <w:r w:rsidR="00D22508" w:rsidRPr="007B0DD2">
          <w:rPr>
            <w:rStyle w:val="Hyperlink"/>
            <w:sz w:val="22"/>
            <w:szCs w:val="22"/>
          </w:rPr>
          <w:t>pwhite@thenationalalliance.org</w:t>
        </w:r>
      </w:hyperlink>
      <w:r w:rsidR="00D22508">
        <w:rPr>
          <w:sz w:val="22"/>
          <w:szCs w:val="22"/>
        </w:rPr>
        <w:t>.</w:t>
      </w:r>
    </w:p>
    <w:p w:rsidR="00D22508" w:rsidRPr="00D22508" w:rsidRDefault="00D22508" w:rsidP="00D22508">
      <w:pPr>
        <w:ind w:left="720" w:hanging="90"/>
        <w:contextualSpacing/>
        <w:jc w:val="center"/>
        <w:rPr>
          <w:sz w:val="22"/>
          <w:szCs w:val="22"/>
        </w:rPr>
      </w:pPr>
    </w:p>
    <w:sectPr w:rsidR="00D22508" w:rsidRPr="00D22508" w:rsidSect="00AC2070">
      <w:headerReference w:type="default" r:id="rId13"/>
      <w:footerReference w:type="default" r:id="rId14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FB3" w:rsidRDefault="00BB0FB3" w:rsidP="00AD61F0">
      <w:r>
        <w:separator/>
      </w:r>
    </w:p>
  </w:endnote>
  <w:endnote w:type="continuationSeparator" w:id="0">
    <w:p w:rsidR="00BB0FB3" w:rsidRDefault="00BB0FB3" w:rsidP="00AD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3A" w:rsidRPr="00AC2070" w:rsidRDefault="00F0623A" w:rsidP="00AC2070">
    <w:pPr>
      <w:spacing w:before="40"/>
      <w:ind w:left="-720" w:right="-900" w:hanging="90"/>
      <w:rPr>
        <w:rFonts w:ascii="HelveticaNeueLT Std Med Cn" w:eastAsia="Arial" w:hAnsi="HelveticaNeueLT Std Med Cn" w:cs="Arial"/>
        <w:sz w:val="15"/>
        <w:szCs w:val="15"/>
      </w:rPr>
    </w:pPr>
    <w:r w:rsidRPr="009D6DD0">
      <w:rPr>
        <w:rFonts w:ascii="HelveticaNeueLT Std Med Cn" w:eastAsia="Arial" w:hAnsi="HelveticaNeueLT Std Med Cn" w:cs="Arial"/>
        <w:color w:val="003384"/>
        <w:sz w:val="15"/>
        <w:szCs w:val="15"/>
      </w:rPr>
      <w:t xml:space="preserve">© </w:t>
    </w:r>
    <w:r w:rsidRPr="009D6DD0">
      <w:rPr>
        <w:rFonts w:ascii="HelveticaNeueLT Std Med Cn" w:eastAsia="Arial" w:hAnsi="HelveticaNeueLT Std Med Cn" w:cs="Arial"/>
        <w:color w:val="003384"/>
        <w:w w:val="74"/>
        <w:sz w:val="15"/>
        <w:szCs w:val="15"/>
      </w:rPr>
      <w:t xml:space="preserve">Got </w:t>
    </w:r>
    <w:r w:rsidRPr="009D6DD0">
      <w:rPr>
        <w:rFonts w:ascii="HelveticaNeueLT Std Med Cn" w:eastAsia="Arial" w:hAnsi="HelveticaNeueLT Std Med Cn" w:cs="Arial"/>
        <w:color w:val="003384"/>
        <w:w w:val="80"/>
        <w:sz w:val="15"/>
        <w:szCs w:val="15"/>
      </w:rPr>
      <w:t xml:space="preserve">Transition™/ Center for </w:t>
    </w:r>
    <w:r w:rsidRPr="009D6DD0">
      <w:rPr>
        <w:rFonts w:ascii="HelveticaNeueLT Std Med Cn" w:eastAsia="Arial" w:hAnsi="HelveticaNeueLT Std Med Cn" w:cs="Arial"/>
        <w:color w:val="003384"/>
        <w:w w:val="76"/>
        <w:sz w:val="15"/>
        <w:szCs w:val="15"/>
      </w:rPr>
      <w:t>Heal</w:t>
    </w:r>
    <w:r>
      <w:rPr>
        <w:rFonts w:ascii="HelveticaNeueLT Std Med Cn" w:eastAsia="Arial" w:hAnsi="HelveticaNeueLT Std Med Cn" w:cs="Arial"/>
        <w:color w:val="003384"/>
        <w:w w:val="76"/>
        <w:sz w:val="15"/>
        <w:szCs w:val="15"/>
      </w:rPr>
      <w:t xml:space="preserve">th Care Transition Improvement, </w:t>
    </w:r>
    <w:r w:rsidRPr="009D6DD0">
      <w:rPr>
        <w:rFonts w:ascii="HelveticaNeueLT Std Med Cn" w:eastAsia="Arial" w:hAnsi="HelveticaNeueLT Std Med Cn" w:cs="Arial"/>
        <w:color w:val="003384"/>
        <w:w w:val="87"/>
        <w:sz w:val="15"/>
        <w:szCs w:val="15"/>
      </w:rPr>
      <w:t xml:space="preserve">01/2014 </w:t>
    </w:r>
    <w:r w:rsidRPr="009D6DD0">
      <w:rPr>
        <w:rFonts w:ascii="Arial" w:eastAsia="MS PGothic" w:hAnsi="Arial" w:cs="Arial"/>
        <w:color w:val="6DAC3D"/>
        <w:w w:val="76"/>
        <w:sz w:val="15"/>
        <w:szCs w:val="15"/>
      </w:rPr>
      <w:t>■</w:t>
    </w:r>
    <w:r>
      <w:rPr>
        <w:rFonts w:ascii="Arial" w:eastAsia="MS PGothic" w:hAnsi="Arial" w:cs="Arial"/>
        <w:color w:val="6DAC3D"/>
        <w:w w:val="76"/>
        <w:sz w:val="15"/>
        <w:szCs w:val="15"/>
      </w:rPr>
      <w:t xml:space="preserve"> </w:t>
    </w:r>
    <w:r w:rsidRPr="009D6DD0">
      <w:rPr>
        <w:rFonts w:ascii="HelveticaNeueLT Std Med Cn" w:eastAsia="Arial" w:hAnsi="HelveticaNeueLT Std Med Cn" w:cs="Arial"/>
        <w:color w:val="003384"/>
        <w:w w:val="76"/>
        <w:sz w:val="15"/>
        <w:szCs w:val="15"/>
      </w:rPr>
      <w:t xml:space="preserve">Got </w:t>
    </w:r>
    <w:r w:rsidRPr="009D6DD0">
      <w:rPr>
        <w:rFonts w:ascii="HelveticaNeueLT Std Med Cn" w:eastAsia="Arial" w:hAnsi="HelveticaNeueLT Std Med Cn" w:cs="Arial"/>
        <w:color w:val="003384"/>
        <w:w w:val="80"/>
        <w:sz w:val="15"/>
        <w:szCs w:val="15"/>
      </w:rPr>
      <w:t xml:space="preserve">Transition™ is a program of The National Alliance to Advance Adolescent Health supported by U39MC25729 </w:t>
    </w:r>
    <w:r w:rsidRPr="009D6DD0">
      <w:rPr>
        <w:rFonts w:ascii="HelveticaNeueLT Std Med Cn" w:eastAsia="Arial" w:hAnsi="HelveticaNeueLT Std Med Cn" w:cs="Arial"/>
        <w:color w:val="003384"/>
        <w:w w:val="71"/>
        <w:sz w:val="15"/>
        <w:szCs w:val="15"/>
      </w:rPr>
      <w:t>H</w:t>
    </w:r>
    <w:r w:rsidRPr="009D6DD0">
      <w:rPr>
        <w:rFonts w:ascii="HelveticaNeueLT Std Med Cn" w:eastAsia="Arial" w:hAnsi="HelveticaNeueLT Std Med Cn" w:cs="Arial"/>
        <w:color w:val="003384"/>
        <w:w w:val="69"/>
        <w:sz w:val="15"/>
        <w:szCs w:val="15"/>
      </w:rPr>
      <w:t>R</w:t>
    </w:r>
    <w:r w:rsidRPr="009D6DD0">
      <w:rPr>
        <w:rFonts w:ascii="HelveticaNeueLT Std Med Cn" w:eastAsia="Arial" w:hAnsi="HelveticaNeueLT Std Med Cn" w:cs="Arial"/>
        <w:color w:val="003384"/>
        <w:w w:val="71"/>
        <w:sz w:val="15"/>
        <w:szCs w:val="15"/>
      </w:rPr>
      <w:t>S</w:t>
    </w:r>
    <w:r w:rsidRPr="009D6DD0">
      <w:rPr>
        <w:rFonts w:ascii="HelveticaNeueLT Std Med Cn" w:eastAsia="Arial" w:hAnsi="HelveticaNeueLT Std Med Cn" w:cs="Arial"/>
        <w:color w:val="003384"/>
        <w:w w:val="74"/>
        <w:sz w:val="15"/>
        <w:szCs w:val="15"/>
      </w:rPr>
      <w:t>A</w:t>
    </w:r>
    <w:r w:rsidRPr="009D6DD0">
      <w:rPr>
        <w:rFonts w:ascii="HelveticaNeueLT Std Med Cn" w:eastAsia="Arial" w:hAnsi="HelveticaNeueLT Std Med Cn" w:cs="Arial"/>
        <w:color w:val="003384"/>
        <w:sz w:val="15"/>
        <w:szCs w:val="15"/>
      </w:rPr>
      <w:t>/</w:t>
    </w:r>
    <w:r w:rsidRPr="009D6DD0">
      <w:rPr>
        <w:rFonts w:ascii="HelveticaNeueLT Std Med Cn" w:eastAsia="Arial" w:hAnsi="HelveticaNeueLT Std Med Cn" w:cs="Arial"/>
        <w:color w:val="003384"/>
        <w:w w:val="82"/>
        <w:sz w:val="15"/>
        <w:szCs w:val="15"/>
      </w:rPr>
      <w:t>M</w:t>
    </w:r>
    <w:r w:rsidRPr="009D6DD0">
      <w:rPr>
        <w:rFonts w:ascii="HelveticaNeueLT Std Med Cn" w:eastAsia="Arial" w:hAnsi="HelveticaNeueLT Std Med Cn" w:cs="Arial"/>
        <w:color w:val="003384"/>
        <w:w w:val="71"/>
        <w:sz w:val="15"/>
        <w:szCs w:val="15"/>
      </w:rPr>
      <w:t>CH</w:t>
    </w:r>
    <w:r w:rsidRPr="009D6DD0">
      <w:rPr>
        <w:rFonts w:ascii="HelveticaNeueLT Std Med Cn" w:eastAsia="Arial" w:hAnsi="HelveticaNeueLT Std Med Cn" w:cs="Arial"/>
        <w:color w:val="003384"/>
        <w:w w:val="74"/>
        <w:sz w:val="15"/>
        <w:szCs w:val="15"/>
      </w:rPr>
      <w:t>B</w:t>
    </w:r>
    <w:r>
      <w:rPr>
        <w:rFonts w:ascii="HelveticaNeueLT Std Med Cn" w:eastAsia="Arial" w:hAnsi="HelveticaNeueLT Std Med Cn" w:cs="Arial"/>
        <w:color w:val="003384"/>
        <w:w w:val="74"/>
        <w:sz w:val="15"/>
        <w:szCs w:val="15"/>
      </w:rPr>
      <w:t xml:space="preserve"> </w:t>
    </w:r>
    <w:r>
      <w:rPr>
        <w:rFonts w:ascii="Arial" w:eastAsia="MS PGothic" w:hAnsi="Arial" w:cs="Arial"/>
        <w:color w:val="6DAC3D"/>
        <w:w w:val="79"/>
        <w:sz w:val="15"/>
        <w:szCs w:val="15"/>
      </w:rPr>
      <w:t xml:space="preserve">■ </w:t>
    </w:r>
    <w:hyperlink r:id="rId1">
      <w:r w:rsidRPr="009D6DD0">
        <w:rPr>
          <w:rFonts w:ascii="HelveticaNeueLT Std Med Cn" w:eastAsia="Arial" w:hAnsi="HelveticaNeueLT Std Med Cn" w:cs="Arial"/>
          <w:b/>
          <w:color w:val="003384"/>
          <w:w w:val="89"/>
          <w:sz w:val="15"/>
          <w:szCs w:val="15"/>
        </w:rPr>
        <w:t>www</w:t>
      </w:r>
      <w:r w:rsidRPr="009D6DD0">
        <w:rPr>
          <w:rFonts w:ascii="HelveticaNeueLT Std Med Cn" w:eastAsia="Arial" w:hAnsi="HelveticaNeueLT Std Med Cn" w:cs="Arial"/>
          <w:b/>
          <w:color w:val="003384"/>
          <w:w w:val="86"/>
          <w:sz w:val="15"/>
          <w:szCs w:val="15"/>
        </w:rPr>
        <w:t>.</w:t>
      </w:r>
      <w:r w:rsidRPr="009D6DD0">
        <w:rPr>
          <w:rFonts w:ascii="HelveticaNeueLT Std Med Cn" w:eastAsia="Arial" w:hAnsi="HelveticaNeueLT Std Med Cn" w:cs="Arial"/>
          <w:b/>
          <w:color w:val="003384"/>
          <w:w w:val="69"/>
          <w:sz w:val="15"/>
          <w:szCs w:val="15"/>
        </w:rPr>
        <w:t>G</w:t>
      </w:r>
      <w:r w:rsidRPr="009D6DD0">
        <w:rPr>
          <w:rFonts w:ascii="HelveticaNeueLT Std Med Cn" w:eastAsia="Arial" w:hAnsi="HelveticaNeueLT Std Med Cn" w:cs="Arial"/>
          <w:b/>
          <w:color w:val="003384"/>
          <w:w w:val="79"/>
          <w:sz w:val="15"/>
          <w:szCs w:val="15"/>
        </w:rPr>
        <w:t>o</w:t>
      </w:r>
      <w:r w:rsidRPr="009D6DD0">
        <w:rPr>
          <w:rFonts w:ascii="HelveticaNeueLT Std Med Cn" w:eastAsia="Arial" w:hAnsi="HelveticaNeueLT Std Med Cn" w:cs="Arial"/>
          <w:b/>
          <w:color w:val="003384"/>
          <w:w w:val="93"/>
          <w:sz w:val="15"/>
          <w:szCs w:val="15"/>
        </w:rPr>
        <w:t>t</w:t>
      </w:r>
      <w:r w:rsidRPr="009D6DD0">
        <w:rPr>
          <w:rFonts w:ascii="HelveticaNeueLT Std Med Cn" w:eastAsia="Arial" w:hAnsi="HelveticaNeueLT Std Med Cn" w:cs="Arial"/>
          <w:b/>
          <w:color w:val="003384"/>
          <w:w w:val="75"/>
          <w:sz w:val="15"/>
          <w:szCs w:val="15"/>
        </w:rPr>
        <w:t>T</w:t>
      </w:r>
      <w:r w:rsidRPr="009D6DD0">
        <w:rPr>
          <w:rFonts w:ascii="HelveticaNeueLT Std Med Cn" w:eastAsia="Arial" w:hAnsi="HelveticaNeueLT Std Med Cn" w:cs="Arial"/>
          <w:b/>
          <w:color w:val="003384"/>
          <w:w w:val="88"/>
          <w:sz w:val="15"/>
          <w:szCs w:val="15"/>
        </w:rPr>
        <w:t>r</w:t>
      </w:r>
      <w:r w:rsidRPr="009D6DD0">
        <w:rPr>
          <w:rFonts w:ascii="HelveticaNeueLT Std Med Cn" w:eastAsia="Arial" w:hAnsi="HelveticaNeueLT Std Med Cn" w:cs="Arial"/>
          <w:b/>
          <w:color w:val="003384"/>
          <w:w w:val="79"/>
          <w:sz w:val="15"/>
          <w:szCs w:val="15"/>
        </w:rPr>
        <w:t>a</w:t>
      </w:r>
      <w:r w:rsidRPr="009D6DD0">
        <w:rPr>
          <w:rFonts w:ascii="HelveticaNeueLT Std Med Cn" w:eastAsia="Arial" w:hAnsi="HelveticaNeueLT Std Med Cn" w:cs="Arial"/>
          <w:b/>
          <w:color w:val="003384"/>
          <w:w w:val="83"/>
          <w:sz w:val="15"/>
          <w:szCs w:val="15"/>
        </w:rPr>
        <w:t>n</w:t>
      </w:r>
      <w:r w:rsidRPr="009D6DD0">
        <w:rPr>
          <w:rFonts w:ascii="HelveticaNeueLT Std Med Cn" w:eastAsia="Arial" w:hAnsi="HelveticaNeueLT Std Med Cn" w:cs="Arial"/>
          <w:b/>
          <w:color w:val="003384"/>
          <w:w w:val="81"/>
          <w:sz w:val="15"/>
          <w:szCs w:val="15"/>
        </w:rPr>
        <w:t>s</w:t>
      </w:r>
      <w:r w:rsidRPr="009D6DD0">
        <w:rPr>
          <w:rFonts w:ascii="HelveticaNeueLT Std Med Cn" w:eastAsia="Arial" w:hAnsi="HelveticaNeueLT Std Med Cn" w:cs="Arial"/>
          <w:b/>
          <w:color w:val="003384"/>
          <w:w w:val="91"/>
          <w:sz w:val="15"/>
          <w:szCs w:val="15"/>
        </w:rPr>
        <w:t>i</w:t>
      </w:r>
      <w:r w:rsidRPr="009D6DD0">
        <w:rPr>
          <w:rFonts w:ascii="HelveticaNeueLT Std Med Cn" w:eastAsia="Arial" w:hAnsi="HelveticaNeueLT Std Med Cn" w:cs="Arial"/>
          <w:b/>
          <w:color w:val="003384"/>
          <w:w w:val="93"/>
          <w:sz w:val="15"/>
          <w:szCs w:val="15"/>
        </w:rPr>
        <w:t>t</w:t>
      </w:r>
      <w:r w:rsidRPr="009D6DD0">
        <w:rPr>
          <w:rFonts w:ascii="HelveticaNeueLT Std Med Cn" w:eastAsia="Arial" w:hAnsi="HelveticaNeueLT Std Med Cn" w:cs="Arial"/>
          <w:b/>
          <w:color w:val="003384"/>
          <w:w w:val="91"/>
          <w:sz w:val="15"/>
          <w:szCs w:val="15"/>
        </w:rPr>
        <w:t>i</w:t>
      </w:r>
      <w:r w:rsidRPr="009D6DD0">
        <w:rPr>
          <w:rFonts w:ascii="HelveticaNeueLT Std Med Cn" w:eastAsia="Arial" w:hAnsi="HelveticaNeueLT Std Med Cn" w:cs="Arial"/>
          <w:b/>
          <w:color w:val="003384"/>
          <w:w w:val="79"/>
          <w:sz w:val="15"/>
          <w:szCs w:val="15"/>
        </w:rPr>
        <w:t>o</w:t>
      </w:r>
      <w:r w:rsidRPr="009D6DD0">
        <w:rPr>
          <w:rFonts w:ascii="HelveticaNeueLT Std Med Cn" w:eastAsia="Arial" w:hAnsi="HelveticaNeueLT Std Med Cn" w:cs="Arial"/>
          <w:b/>
          <w:color w:val="003384"/>
          <w:w w:val="83"/>
          <w:sz w:val="15"/>
          <w:szCs w:val="15"/>
        </w:rPr>
        <w:t>n</w:t>
      </w:r>
      <w:r w:rsidRPr="009D6DD0">
        <w:rPr>
          <w:rFonts w:ascii="HelveticaNeueLT Std Med Cn" w:eastAsia="Arial" w:hAnsi="HelveticaNeueLT Std Med Cn" w:cs="Arial"/>
          <w:b/>
          <w:color w:val="003384"/>
          <w:w w:val="86"/>
          <w:sz w:val="15"/>
          <w:szCs w:val="15"/>
        </w:rPr>
        <w:t>.</w:t>
      </w:r>
      <w:r w:rsidRPr="009D6DD0">
        <w:rPr>
          <w:rFonts w:ascii="HelveticaNeueLT Std Med Cn" w:eastAsia="Arial" w:hAnsi="HelveticaNeueLT Std Med Cn" w:cs="Arial"/>
          <w:b/>
          <w:color w:val="003384"/>
          <w:w w:val="79"/>
          <w:sz w:val="15"/>
          <w:szCs w:val="15"/>
        </w:rPr>
        <w:t>o</w:t>
      </w:r>
      <w:r w:rsidRPr="009D6DD0">
        <w:rPr>
          <w:rFonts w:ascii="HelveticaNeueLT Std Med Cn" w:eastAsia="Arial" w:hAnsi="HelveticaNeueLT Std Med Cn" w:cs="Arial"/>
          <w:b/>
          <w:color w:val="003384"/>
          <w:w w:val="88"/>
          <w:sz w:val="15"/>
          <w:szCs w:val="15"/>
        </w:rPr>
        <w:t>r</w:t>
      </w:r>
      <w:r w:rsidRPr="009D6DD0">
        <w:rPr>
          <w:rFonts w:ascii="HelveticaNeueLT Std Med Cn" w:eastAsia="Arial" w:hAnsi="HelveticaNeueLT Std Med Cn" w:cs="Arial"/>
          <w:b/>
          <w:color w:val="003384"/>
          <w:w w:val="83"/>
          <w:sz w:val="15"/>
          <w:szCs w:val="15"/>
        </w:rPr>
        <w:t>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FB3" w:rsidRDefault="00BB0FB3" w:rsidP="00AD61F0">
      <w:r>
        <w:separator/>
      </w:r>
    </w:p>
  </w:footnote>
  <w:footnote w:type="continuationSeparator" w:id="0">
    <w:p w:rsidR="00BB0FB3" w:rsidRDefault="00BB0FB3" w:rsidP="00AD6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52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53B949"/>
        <w:insideV w:val="single" w:sz="18" w:space="0" w:color="53B949"/>
      </w:tblBorders>
      <w:tblLook w:val="04A0"/>
    </w:tblPr>
    <w:tblGrid>
      <w:gridCol w:w="2070"/>
      <w:gridCol w:w="9450"/>
    </w:tblGrid>
    <w:tr w:rsidR="00F0623A" w:rsidRPr="001D5957" w:rsidTr="001172CC">
      <w:trPr>
        <w:trHeight w:val="900"/>
      </w:trPr>
      <w:tc>
        <w:tcPr>
          <w:tcW w:w="2070" w:type="dxa"/>
          <w:shd w:val="clear" w:color="auto" w:fill="auto"/>
        </w:tcPr>
        <w:p w:rsidR="00F0623A" w:rsidRPr="001D5957" w:rsidRDefault="00F0623A" w:rsidP="00AC2070">
          <w:pPr>
            <w:tabs>
              <w:tab w:val="right" w:pos="10872"/>
            </w:tabs>
            <w:ind w:left="-720"/>
            <w:jc w:val="right"/>
            <w:rPr>
              <w:rFonts w:ascii="HelveticaNeueLT Std Cn" w:hAnsi="HelveticaNeueLT Std Cn"/>
              <w:noProof/>
              <w:color w:val="1F497D" w:themeColor="text2"/>
              <w:sz w:val="19"/>
              <w:szCs w:val="19"/>
            </w:rPr>
          </w:pPr>
          <w:r>
            <w:rPr>
              <w:rFonts w:ascii="HelveticaNeueLT Std Cn" w:hAnsi="HelveticaNeueLT Std Cn"/>
              <w:b/>
              <w:noProof/>
              <w:color w:val="7EC234"/>
              <w:sz w:val="40"/>
              <w:szCs w:val="40"/>
              <w:lang w:eastAsia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-66675</wp:posOffset>
                </wp:positionV>
                <wp:extent cx="7058025" cy="1209675"/>
                <wp:effectExtent l="0" t="0" r="9525" b="9525"/>
                <wp:wrapNone/>
                <wp:docPr id="4" name="Picture 4" descr="H:\1. GOT TRANSITION\GT logo\assets\gradient-gre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1. GOT TRANSITION\GT logo\assets\gradient-gre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80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D5957">
            <w:rPr>
              <w:rFonts w:ascii="HelveticaNeueLT Std Cn" w:hAnsi="HelveticaNeueLT Std Cn"/>
              <w:noProof/>
              <w:color w:val="1F497D" w:themeColor="text2"/>
              <w:sz w:val="19"/>
              <w:szCs w:val="19"/>
              <w:lang w:eastAsia="en-US"/>
            </w:rPr>
            <w:drawing>
              <wp:inline distT="0" distB="0" distL="0" distR="0">
                <wp:extent cx="973776" cy="584266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6312" cy="585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0" w:type="dxa"/>
          <w:shd w:val="clear" w:color="auto" w:fill="auto"/>
        </w:tcPr>
        <w:p w:rsidR="00F0623A" w:rsidRPr="00A22B64" w:rsidRDefault="00F0623A" w:rsidP="00AD61F0">
          <w:pPr>
            <w:tabs>
              <w:tab w:val="left" w:pos="2340"/>
              <w:tab w:val="right" w:pos="10872"/>
            </w:tabs>
            <w:ind w:left="72"/>
            <w:rPr>
              <w:rFonts w:ascii="HelveticaNeueLT Std Cn" w:hAnsi="HelveticaNeueLT Std Cn"/>
              <w:b/>
              <w:color w:val="53B949"/>
              <w:sz w:val="36"/>
              <w:szCs w:val="36"/>
            </w:rPr>
          </w:pPr>
          <w:r>
            <w:rPr>
              <w:rFonts w:ascii="HelveticaNeueLT Std Cn" w:hAnsi="HelveticaNeueLT Std Cn"/>
              <w:b/>
              <w:color w:val="53B949"/>
              <w:sz w:val="36"/>
              <w:szCs w:val="36"/>
            </w:rPr>
            <w:t>Starting</w:t>
          </w:r>
          <w:r w:rsidRPr="00A22B64">
            <w:rPr>
              <w:rFonts w:ascii="HelveticaNeueLT Std Cn" w:hAnsi="HelveticaNeueLT Std Cn"/>
              <w:b/>
              <w:color w:val="53B949"/>
              <w:sz w:val="36"/>
              <w:szCs w:val="36"/>
            </w:rPr>
            <w:t xml:space="preserve"> a Transition Improvement Process</w:t>
          </w:r>
        </w:p>
        <w:p w:rsidR="00F0623A" w:rsidRPr="001D5957" w:rsidRDefault="00F0623A" w:rsidP="00AD61F0">
          <w:pPr>
            <w:pStyle w:val="Header"/>
            <w:ind w:left="72"/>
            <w:rPr>
              <w:rFonts w:ascii="HelveticaNeueLT Std Med Cn" w:hAnsi="HelveticaNeueLT Std Med Cn"/>
              <w:spacing w:val="-12"/>
              <w:sz w:val="32"/>
              <w:szCs w:val="32"/>
            </w:rPr>
          </w:pPr>
          <w:r>
            <w:rPr>
              <w:rFonts w:ascii="HelveticaNeueLT Std Med Cn" w:hAnsi="HelveticaNeueLT Std Med Cn"/>
              <w:color w:val="00529B"/>
              <w:spacing w:val="-12"/>
              <w:sz w:val="32"/>
              <w:szCs w:val="32"/>
            </w:rPr>
            <w:t xml:space="preserve">Using the </w:t>
          </w:r>
          <w:r w:rsidRPr="001D5957">
            <w:rPr>
              <w:rFonts w:ascii="HelveticaNeueLT Std Med Cn" w:hAnsi="HelveticaNeueLT Std Med Cn"/>
              <w:color w:val="00529B"/>
              <w:spacing w:val="-12"/>
              <w:sz w:val="32"/>
              <w:szCs w:val="32"/>
            </w:rPr>
            <w:t>Six Core Elements of Health Care Transition 2.0</w:t>
          </w:r>
        </w:p>
      </w:tc>
    </w:tr>
  </w:tbl>
  <w:p w:rsidR="00F0623A" w:rsidRDefault="00F0623A" w:rsidP="00AD61F0">
    <w:pPr>
      <w:pStyle w:val="Header"/>
      <w:ind w:left="-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DA9"/>
    <w:multiLevelType w:val="hybridMultilevel"/>
    <w:tmpl w:val="AE907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61340"/>
    <w:multiLevelType w:val="hybridMultilevel"/>
    <w:tmpl w:val="66A06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6E6B13"/>
    <w:multiLevelType w:val="hybridMultilevel"/>
    <w:tmpl w:val="B6288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D57667"/>
    <w:multiLevelType w:val="hybridMultilevel"/>
    <w:tmpl w:val="35AEA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492BF9"/>
    <w:multiLevelType w:val="hybridMultilevel"/>
    <w:tmpl w:val="5E4A9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40314C"/>
    <w:multiLevelType w:val="hybridMultilevel"/>
    <w:tmpl w:val="F7064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1E5660"/>
    <w:multiLevelType w:val="hybridMultilevel"/>
    <w:tmpl w:val="CC707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F3092B"/>
    <w:multiLevelType w:val="hybridMultilevel"/>
    <w:tmpl w:val="9BD83166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7AD3431B"/>
    <w:multiLevelType w:val="hybridMultilevel"/>
    <w:tmpl w:val="89167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1991"/>
    <w:rsid w:val="000068A8"/>
    <w:rsid w:val="00025F76"/>
    <w:rsid w:val="00087386"/>
    <w:rsid w:val="000C0521"/>
    <w:rsid w:val="001172CC"/>
    <w:rsid w:val="00140B41"/>
    <w:rsid w:val="00164A03"/>
    <w:rsid w:val="0016719B"/>
    <w:rsid w:val="001901FA"/>
    <w:rsid w:val="001F0514"/>
    <w:rsid w:val="00206327"/>
    <w:rsid w:val="00295218"/>
    <w:rsid w:val="002C1CC4"/>
    <w:rsid w:val="002E3FE0"/>
    <w:rsid w:val="002F04FD"/>
    <w:rsid w:val="00310A17"/>
    <w:rsid w:val="0035026D"/>
    <w:rsid w:val="00356609"/>
    <w:rsid w:val="003629CD"/>
    <w:rsid w:val="00363F6C"/>
    <w:rsid w:val="003B3707"/>
    <w:rsid w:val="0043702D"/>
    <w:rsid w:val="004A0209"/>
    <w:rsid w:val="004C72BB"/>
    <w:rsid w:val="00510AB9"/>
    <w:rsid w:val="00522D12"/>
    <w:rsid w:val="00556DEB"/>
    <w:rsid w:val="00592234"/>
    <w:rsid w:val="00592507"/>
    <w:rsid w:val="005D2C2C"/>
    <w:rsid w:val="005E64E7"/>
    <w:rsid w:val="006C7350"/>
    <w:rsid w:val="00701BEA"/>
    <w:rsid w:val="00704348"/>
    <w:rsid w:val="007A4796"/>
    <w:rsid w:val="007A6C2B"/>
    <w:rsid w:val="007B7C93"/>
    <w:rsid w:val="007C1C7B"/>
    <w:rsid w:val="007D646E"/>
    <w:rsid w:val="00847B1A"/>
    <w:rsid w:val="00850795"/>
    <w:rsid w:val="00871991"/>
    <w:rsid w:val="009637D8"/>
    <w:rsid w:val="00976B14"/>
    <w:rsid w:val="009B6CE5"/>
    <w:rsid w:val="009C2298"/>
    <w:rsid w:val="00A1255F"/>
    <w:rsid w:val="00A13ECF"/>
    <w:rsid w:val="00A22B64"/>
    <w:rsid w:val="00A334DE"/>
    <w:rsid w:val="00A418BB"/>
    <w:rsid w:val="00A83965"/>
    <w:rsid w:val="00A927AC"/>
    <w:rsid w:val="00AC2070"/>
    <w:rsid w:val="00AD61F0"/>
    <w:rsid w:val="00AF41A0"/>
    <w:rsid w:val="00B11960"/>
    <w:rsid w:val="00B2216C"/>
    <w:rsid w:val="00B52B2D"/>
    <w:rsid w:val="00B765E2"/>
    <w:rsid w:val="00B9201D"/>
    <w:rsid w:val="00BB020C"/>
    <w:rsid w:val="00BB0FB3"/>
    <w:rsid w:val="00BB53AA"/>
    <w:rsid w:val="00BC6D39"/>
    <w:rsid w:val="00BD1468"/>
    <w:rsid w:val="00BE1EE9"/>
    <w:rsid w:val="00BF09EE"/>
    <w:rsid w:val="00C20E14"/>
    <w:rsid w:val="00C934FC"/>
    <w:rsid w:val="00C97A00"/>
    <w:rsid w:val="00CB68E2"/>
    <w:rsid w:val="00CE685C"/>
    <w:rsid w:val="00D07922"/>
    <w:rsid w:val="00D14CF5"/>
    <w:rsid w:val="00D22508"/>
    <w:rsid w:val="00D3147D"/>
    <w:rsid w:val="00D617D5"/>
    <w:rsid w:val="00DA07E3"/>
    <w:rsid w:val="00DC179F"/>
    <w:rsid w:val="00E14ACE"/>
    <w:rsid w:val="00E14B9A"/>
    <w:rsid w:val="00E36893"/>
    <w:rsid w:val="00E43968"/>
    <w:rsid w:val="00E4797C"/>
    <w:rsid w:val="00E62C90"/>
    <w:rsid w:val="00EB06E0"/>
    <w:rsid w:val="00EC3B04"/>
    <w:rsid w:val="00EF5049"/>
    <w:rsid w:val="00F0623A"/>
    <w:rsid w:val="00F67D4C"/>
    <w:rsid w:val="00F932B4"/>
    <w:rsid w:val="00FA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73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3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3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3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3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6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F0"/>
  </w:style>
  <w:style w:type="paragraph" w:styleId="Footer">
    <w:name w:val="footer"/>
    <w:basedOn w:val="Normal"/>
    <w:link w:val="FooterChar"/>
    <w:uiPriority w:val="99"/>
    <w:unhideWhenUsed/>
    <w:rsid w:val="00AD6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F0"/>
  </w:style>
  <w:style w:type="table" w:styleId="TableGrid">
    <w:name w:val="Table Grid"/>
    <w:basedOn w:val="TableNormal"/>
    <w:uiPriority w:val="59"/>
    <w:rsid w:val="00AD61F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2B6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C7350"/>
  </w:style>
  <w:style w:type="character" w:styleId="FollowedHyperlink">
    <w:name w:val="FollowedHyperlink"/>
    <w:basedOn w:val="DefaultParagraphFont"/>
    <w:uiPriority w:val="99"/>
    <w:semiHidden/>
    <w:unhideWhenUsed/>
    <w:rsid w:val="009637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transition.org/resourceGet.cfm?id=23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ttransition.org/" TargetMode="External"/><Relationship Id="rId12" Type="http://schemas.openxmlformats.org/officeDocument/2006/relationships/hyperlink" Target="mailto:pwhite@thenationalallianc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ttransition.org/resourceGet.cfm?id=23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ttransition.org/resourceGet.cfm?id=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ttransition.org/resourceGet.cfm?id=233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Transition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Cooley</dc:creator>
  <cp:lastModifiedBy>Ceci Shapland</cp:lastModifiedBy>
  <cp:revision>2</cp:revision>
  <cp:lastPrinted>2015-01-06T17:35:00Z</cp:lastPrinted>
  <dcterms:created xsi:type="dcterms:W3CDTF">2015-04-27T20:33:00Z</dcterms:created>
  <dcterms:modified xsi:type="dcterms:W3CDTF">2015-04-27T20:33:00Z</dcterms:modified>
</cp:coreProperties>
</file>